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rPr>
      </w:pPr>
      <w:r>
        <w:rPr>
          <w:color w:val="000000"/>
        </w:rPr>
      </w:r>
      <w:r/>
    </w:p>
    <w:p>
      <w:pPr>
        <w:pStyle w:val="883"/>
        <w:rPr>
          <w:color w:val="000000"/>
        </w:rPr>
      </w:pPr>
      <w:r>
        <w:rPr>
          <w:color w:val="000000"/>
        </w:rPr>
      </w:r>
      <w:r/>
    </w:p>
    <w:p>
      <w:pPr>
        <w:pStyle w:val="883"/>
        <w:rPr>
          <w:color w:val="000000"/>
        </w:rPr>
      </w:pPr>
      <w:r>
        <w:rPr>
          <w:color w:val="000000"/>
        </w:rPr>
      </w:r>
      <w:r/>
    </w:p>
    <w:p>
      <w:pPr>
        <w:pStyle w:val="883"/>
        <w:rPr>
          <w:color w:val="000000"/>
        </w:rPr>
      </w:pPr>
      <w:r>
        <w:rPr>
          <w:color w:val="000000"/>
        </w:rPr>
      </w:r>
      <w:r/>
    </w:p>
    <w:p>
      <w:pPr>
        <w:pStyle w:val="883"/>
        <w:rPr>
          <w:color w:val="000000"/>
        </w:rPr>
      </w:pPr>
      <w:r>
        <w:rPr>
          <w:color w:val="000000"/>
        </w:rPr>
      </w:r>
      <w:r/>
    </w:p>
    <w:p>
      <w:pPr>
        <w:pStyle w:val="883"/>
        <w:rPr>
          <w:color w:val="000000"/>
        </w:rPr>
      </w:pPr>
      <w:r>
        <w:rPr>
          <w:color w:val="000000"/>
        </w:rPr>
      </w:r>
      <w:r/>
    </w:p>
    <w:p>
      <w:pPr>
        <w:pStyle w:val="883"/>
        <w:rPr>
          <w:color w:val="000000"/>
        </w:rPr>
      </w:pPr>
      <w:r>
        <w:rPr>
          <w:color w:val="000000"/>
        </w:rPr>
      </w:r>
      <w:r/>
    </w:p>
    <w:p>
      <w:pPr>
        <w:rPr>
          <w:color w:val="000000"/>
        </w:rPr>
      </w:pPr>
      <w:r/>
      <w:bookmarkStart w:id="0" w:name="EB3ace3d43b98b41779337deb808be6fa3"/>
      <w:r>
        <w:rPr>
          <w:rFonts w:hint="eastAsia"/>
          <w:color w:val="000000"/>
          <w:sz w:val="20"/>
        </w:rPr>
        <w:t xml:space="preserve"> </w:t>
      </w:r>
      <w:bookmarkEnd w:id="0"/>
      <w:r/>
      <w:bookmarkStart w:id="1" w:name="EB57dd2a69e2b54b0cb3f5c2f03a1ab7bf"/>
      <w:r>
        <w:rPr>
          <w:rFonts w:hint="eastAsia"/>
          <w:color w:val="000000"/>
          <w:sz w:val="20"/>
        </w:rPr>
        <w:t xml:space="preserve"> </w:t>
      </w:r>
      <w:bookmarkEnd w:id="1"/>
      <w:r/>
      <w:r/>
    </w:p>
    <w:p>
      <w:pPr>
        <w:rPr>
          <w:color w:val="000000"/>
        </w:rPr>
      </w:pPr>
      <w:r>
        <w:rPr>
          <w:color w:val="000000"/>
        </w:rPr>
      </w:r>
      <w:r/>
    </w:p>
    <w:p>
      <w:pPr>
        <w:jc w:val="center"/>
        <w:spacing w:before="120" w:after="120" w:line="360" w:lineRule="auto"/>
        <w:rPr>
          <w:rFonts w:ascii="Arial" w:hAnsi="Arial" w:eastAsia="黑体" w:cs="黑体"/>
          <w:b/>
          <w:color w:val="000000"/>
          <w:sz w:val="84"/>
          <w:szCs w:val="24"/>
        </w:rPr>
      </w:pPr>
      <w:r>
        <w:rPr>
          <w:rFonts w:hint="eastAsia" w:ascii="Arial" w:hAnsi="Arial" w:eastAsia="黑体" w:cs="黑体"/>
          <w:b/>
          <w:color w:val="000000"/>
          <w:sz w:val="84"/>
          <w:szCs w:val="24"/>
        </w:rPr>
        <w:t xml:space="preserve">招　标　文　件</w:t>
      </w:r>
      <w:r/>
    </w:p>
    <w:p>
      <w:pPr>
        <w:rPr>
          <w:rFonts w:ascii="Times New Roman" w:hAnsi="Times New Roman" w:cs="宋体"/>
          <w:b/>
          <w:color w:val="000000"/>
          <w:sz w:val="30"/>
          <w:szCs w:val="30"/>
        </w:rPr>
      </w:pPr>
      <w:r>
        <w:rPr>
          <w:rFonts w:ascii="Times New Roman" w:hAnsi="Times New Roman" w:cs="宋体"/>
          <w:b/>
          <w:color w:val="000000"/>
          <w:sz w:val="30"/>
          <w:szCs w:val="30"/>
        </w:rPr>
      </w:r>
      <w:r/>
    </w:p>
    <w:p>
      <w:pPr>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b/>
          <w:color w:val="000000"/>
          <w:sz w:val="30"/>
          <w:szCs w:val="30"/>
        </w:rPr>
      </w:pPr>
      <w:r>
        <w:rPr>
          <w:rFonts w:hint="eastAsia" w:ascii="Times New Roman" w:hAnsi="Times New Roman" w:cs="宋体"/>
          <w:b/>
          <w:color w:val="000000"/>
          <w:sz w:val="30"/>
          <w:szCs w:val="30"/>
        </w:rPr>
        <w:t xml:space="preserve">项目名称：</w:t>
      </w:r>
      <w:r>
        <w:rPr>
          <w:rFonts w:hint="eastAsia" w:ascii="Times New Roman" w:hAnsi="Times New Roman"/>
          <w:b/>
          <w:color w:val="000000"/>
          <w:sz w:val="30"/>
          <w:szCs w:val="30"/>
        </w:rPr>
        <w:t xml:space="preserve">沭阳县智慧康养及托幼实训基地项目</w:t>
      </w:r>
      <w:r/>
    </w:p>
    <w:p>
      <w:pPr>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rFonts w:ascii="Times New Roman" w:hAnsi="Times New Roman" w:cs="宋体"/>
          <w:b/>
          <w:color w:val="000000"/>
          <w:sz w:val="30"/>
          <w:szCs w:val="30"/>
        </w:rPr>
      </w:pPr>
      <w:r>
        <w:rPr>
          <w:rFonts w:hint="eastAsia" w:ascii="Times New Roman" w:hAnsi="Times New Roman" w:cs="宋体"/>
          <w:b/>
          <w:color w:val="000000"/>
          <w:sz w:val="30"/>
          <w:szCs w:val="30"/>
        </w:rPr>
        <w:t xml:space="preserve">项目编号：</w:t>
      </w:r>
      <w:r>
        <w:rPr>
          <w:rFonts w:hint="eastAsia" w:ascii="Times New Roman" w:hAnsi="Times New Roman" w:cs="宋体"/>
          <w:b/>
          <w:color w:val="000000"/>
          <w:sz w:val="30"/>
          <w:szCs w:val="30"/>
          <w:lang w:eastAsia="zh-CN"/>
        </w:rPr>
        <w:t xml:space="preserve">JSZC-321322-JZHZ-G2026-0005</w:t>
      </w:r>
      <w:r>
        <w:rPr>
          <w:rFonts w:hint="eastAsia" w:ascii="Times New Roman" w:hAnsi="Times New Roman"/>
          <w:b/>
          <w:color w:val="000000"/>
          <w:sz w:val="30"/>
          <w:szCs w:val="30"/>
        </w:rPr>
        <w:t xml:space="preserve"> </w:t>
      </w:r>
      <w:r/>
    </w:p>
    <w:p>
      <w:pPr>
        <w:ind w:left="2800" w:hanging="2800"/>
        <w:rPr>
          <w:rFonts w:ascii="Times New Roman" w:hAnsi="Times New Roman"/>
          <w:color w:val="000000"/>
          <w:sz w:val="28"/>
          <w:szCs w:val="28"/>
        </w:rPr>
      </w:pPr>
      <w:r>
        <w:rPr>
          <w:rFonts w:ascii="Times New Roman" w:hAnsi="Times New Roman"/>
          <w:color w:val="000000"/>
          <w:sz w:val="28"/>
          <w:szCs w:val="28"/>
        </w:rPr>
      </w:r>
      <w:r/>
    </w:p>
    <w:p>
      <w:pPr>
        <w:ind w:left="2800" w:hanging="2800"/>
        <w:rPr>
          <w:b/>
          <w:color w:val="000000"/>
          <w:sz w:val="28"/>
          <w:szCs w:val="28"/>
        </w:rPr>
      </w:pPr>
      <w:r>
        <w:rPr>
          <w:rFonts w:ascii="Times New Roman" w:hAnsi="Times New Roman"/>
          <w:color w:val="000000"/>
          <w:sz w:val="28"/>
          <w:szCs w:val="28"/>
        </w:rPr>
        <w:t xml:space="preserve">       </w:t>
      </w:r>
      <w:r>
        <w:rPr>
          <w:rFonts w:hint="eastAsia" w:ascii="Times New Roman" w:hAnsi="Times New Roman"/>
          <w:color w:val="000000"/>
          <w:sz w:val="28"/>
          <w:szCs w:val="28"/>
        </w:rPr>
        <w:t xml:space="preserve">   </w:t>
      </w:r>
      <w:r>
        <w:rPr>
          <w:rFonts w:ascii="Times New Roman" w:hAnsi="Times New Roman"/>
          <w:b/>
          <w:color w:val="000000"/>
          <w:sz w:val="28"/>
          <w:szCs w:val="28"/>
        </w:rPr>
        <w:t xml:space="preserve"> </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bl>
      <w:tblPr>
        <w:tblStyle w:val="875"/>
        <w:tblpPr w:horzAnchor="page" w:tblpX="2413" w:vertAnchor="text" w:tblpY="466" w:leftFromText="180" w:topFromText="0" w:rightFromText="180" w:bottomFromText="0"/>
        <w:tblW w:w="78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75"/>
        <w:gridCol w:w="5216"/>
      </w:tblGrid>
      <w:tr>
        <w:trPr>
          <w:trHeight w:val="586"/>
        </w:trPr>
        <w:tc>
          <w:tcPr>
            <w:tcW w:w="2675" w:type="dxa"/>
            <w:vAlign w:val="center"/>
            <w:textDirection w:val="lrTb"/>
            <w:noWrap w:val="false"/>
          </w:tcPr>
          <w:p>
            <w:pPr>
              <w:jc w:val="left"/>
              <w:spacing w:line="500" w:lineRule="exact"/>
              <w:rPr>
                <w:rFonts w:hint="eastAsia" w:ascii="仿宋" w:hAnsi="仿宋" w:eastAsia="仿宋" w:cs="仿宋"/>
                <w:color w:val="000000"/>
                <w:sz w:val="24"/>
                <w:szCs w:val="24"/>
              </w:rPr>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p>
        </w:tc>
        <w:tc>
          <w:tcPr>
            <w:tcW w:w="5216" w:type="dxa"/>
            <w:vAlign w:val="center"/>
            <w:textDirection w:val="lrTb"/>
            <w:noWrap w:val="false"/>
          </w:tcPr>
          <w:p>
            <w:pPr>
              <w:jc w:val="left"/>
              <w:spacing w:line="500" w:lineRule="exact"/>
              <w:rPr>
                <w:rFonts w:hint="eastAsia" w:ascii="仿宋" w:hAnsi="仿宋" w:cs="仿宋"/>
                <w:color w:val="000000"/>
                <w:sz w:val="24"/>
                <w:szCs w:val="24"/>
              </w:rPr>
            </w:pPr>
            <w:r>
              <w:rPr>
                <w:rFonts w:hint="eastAsia" w:ascii="Times New Roman" w:hAnsi="Times New Roman"/>
                <w:b/>
                <w:color w:val="000000"/>
                <w:sz w:val="30"/>
                <w:szCs w:val="30"/>
              </w:rPr>
              <w:t xml:space="preserve">江苏沭阳中等专业学校</w:t>
            </w:r>
            <w:r/>
          </w:p>
        </w:tc>
      </w:tr>
      <w:tr>
        <w:trPr>
          <w:trHeight w:val="617"/>
        </w:trPr>
        <w:tc>
          <w:tcPr>
            <w:tcW w:w="2675" w:type="dxa"/>
            <w:vAlign w:val="center"/>
            <w:textDirection w:val="lrTb"/>
            <w:noWrap w:val="false"/>
          </w:tcPr>
          <w:p>
            <w:pPr>
              <w:jc w:val="left"/>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W w:w="5216" w:type="dxa"/>
            <w:vAlign w:val="center"/>
            <w:textDirection w:val="lrTb"/>
            <w:noWrap w:val="false"/>
          </w:tcPr>
          <w:p>
            <w:pPr>
              <w:jc w:val="left"/>
              <w:spacing w:line="500" w:lineRule="exact"/>
              <w:rPr>
                <w:rFonts w:hint="eastAsia" w:ascii="仿宋" w:hAnsi="仿宋" w:cs="仿宋"/>
                <w:color w:val="000000"/>
                <w:sz w:val="24"/>
                <w:szCs w:val="24"/>
                <w:highlight w:val="yellow"/>
              </w:rPr>
            </w:pPr>
            <w:r>
              <w:rPr>
                <w:rFonts w:hint="eastAsia" w:ascii="Times New Roman" w:hAnsi="Times New Roman"/>
                <w:b/>
                <w:color w:val="000000"/>
                <w:sz w:val="30"/>
                <w:szCs w:val="30"/>
              </w:rPr>
              <w:t xml:space="preserve">江苏吉之恒工程管理有限公司</w:t>
            </w:r>
            <w:r/>
          </w:p>
        </w:tc>
      </w:tr>
    </w:tbl>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center"/>
        <w:spacing w:before="120" w:after="120" w:line="360" w:lineRule="auto"/>
        <w:rPr>
          <w:rFonts w:ascii="Arial" w:hAnsi="Arial"/>
          <w:b/>
          <w:bCs/>
          <w:color w:val="000000"/>
          <w:sz w:val="32"/>
          <w:szCs w:val="32"/>
        </w:rPr>
      </w:pPr>
      <w:r>
        <w:rPr>
          <w:rFonts w:ascii="Arial" w:hAnsi="Arial"/>
          <w:b/>
          <w:bCs/>
          <w:color w:val="000000"/>
          <w:sz w:val="32"/>
          <w:szCs w:val="32"/>
        </w:rPr>
      </w:r>
      <w:r/>
    </w:p>
    <w:p>
      <w:pPr>
        <w:jc w:val="center"/>
        <w:spacing w:before="120" w:after="120" w:line="360" w:lineRule="auto"/>
        <w:rPr>
          <w:rFonts w:ascii="Arial" w:hAnsi="Arial" w:cs="宋体"/>
          <w:b/>
          <w:bCs/>
          <w:color w:val="000000"/>
          <w:sz w:val="32"/>
          <w:szCs w:val="32"/>
        </w:rPr>
      </w:pPr>
      <w:r>
        <w:rPr>
          <w:rFonts w:ascii="Arial" w:hAnsi="Arial" w:cs="宋体"/>
          <w:b/>
          <w:bCs/>
          <w:color w:val="000000"/>
          <w:sz w:val="32"/>
          <w:szCs w:val="32"/>
        </w:rPr>
      </w:r>
      <w:r/>
    </w:p>
    <w:p>
      <w:pPr>
        <w:jc w:val="center"/>
        <w:spacing w:before="120" w:after="120" w:line="360" w:lineRule="auto"/>
        <w:rPr>
          <w:rFonts w:ascii="Arial" w:hAnsi="Arial" w:cs="宋体"/>
          <w:b/>
          <w:bCs/>
          <w:color w:val="000000"/>
          <w:sz w:val="32"/>
          <w:szCs w:val="32"/>
        </w:rPr>
      </w:pPr>
      <w:r>
        <w:rPr>
          <w:rFonts w:ascii="Arial" w:hAnsi="Arial"/>
          <w:b/>
          <w:color w:val="000000"/>
          <w:sz w:val="32"/>
          <w:szCs w:val="24"/>
        </w:rPr>
        <w:t xml:space="preserve">202</w:t>
      </w:r>
      <w:r>
        <w:rPr>
          <w:rFonts w:hint="eastAsia" w:ascii="Arial" w:hAnsi="Arial"/>
          <w:b/>
          <w:color w:val="000000"/>
          <w:sz w:val="32"/>
          <w:szCs w:val="24"/>
        </w:rPr>
        <w:t xml:space="preserve">6</w:t>
      </w:r>
      <w:r>
        <w:rPr>
          <w:rFonts w:hint="eastAsia" w:ascii="Arial" w:hAnsi="Arial" w:cs="宋体"/>
          <w:b/>
          <w:color w:val="000000"/>
          <w:sz w:val="32"/>
          <w:szCs w:val="24"/>
        </w:rPr>
        <w:t xml:space="preserve">年</w:t>
      </w:r>
      <w:r>
        <w:rPr>
          <w:rFonts w:hint="eastAsia" w:ascii="Arial" w:hAnsi="Arial" w:cs="宋体"/>
          <w:b/>
          <w:color w:val="000000"/>
          <w:sz w:val="32"/>
          <w:szCs w:val="24"/>
          <w:lang w:val="en-US" w:eastAsia="zh-CN"/>
        </w:rPr>
        <w:t xml:space="preserve">4</w:t>
      </w:r>
      <w:r>
        <w:rPr>
          <w:rFonts w:hint="eastAsia" w:ascii="Arial" w:hAnsi="Arial" w:cs="宋体"/>
          <w:b/>
          <w:color w:val="000000"/>
          <w:sz w:val="32"/>
          <w:szCs w:val="24"/>
        </w:rPr>
        <w:t xml:space="preserve">月</w:t>
      </w:r>
      <w:r>
        <w:rPr>
          <w:rFonts w:hint="eastAsia" w:ascii="Arial" w:hAnsi="Arial" w:cs="宋体"/>
          <w:b/>
          <w:color w:val="000000"/>
          <w:sz w:val="32"/>
          <w:szCs w:val="24"/>
          <w:lang w:val="en-US" w:eastAsia="zh-CN"/>
        </w:rPr>
        <w:t xml:space="preserve">24</w:t>
      </w:r>
      <w:r>
        <w:rPr>
          <w:rFonts w:hint="eastAsia" w:ascii="Arial" w:hAnsi="Arial" w:cs="宋体"/>
          <w:b/>
          <w:color w:val="000000"/>
          <w:sz w:val="32"/>
          <w:szCs w:val="24"/>
        </w:rPr>
        <w:t xml:space="preserve">日</w:t>
      </w:r>
      <w:r/>
    </w:p>
    <w:p>
      <w:pPr>
        <w:jc w:val="center"/>
        <w:spacing w:before="120" w:after="120" w:line="360" w:lineRule="auto"/>
        <w:rPr>
          <w:rFonts w:ascii="Arial" w:hAnsi="Arial"/>
          <w:b/>
          <w:color w:val="000000"/>
          <w:sz w:val="32"/>
          <w:szCs w:val="24"/>
        </w:rPr>
      </w:pPr>
      <w:r>
        <w:rPr>
          <w:rFonts w:ascii="Arial" w:hAnsi="Arial"/>
          <w:b/>
          <w:color w:val="000000"/>
          <w:sz w:val="32"/>
          <w:szCs w:val="24"/>
        </w:rPr>
      </w:r>
      <w:r/>
    </w:p>
    <w:p>
      <w:pPr>
        <w:jc w:val="center"/>
        <w:keepLines/>
        <w:keepNext/>
        <w:pageBreakBefore/>
        <w:rPr>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pPr>
      <w:r>
        <w:rPr>
          <w:b/>
          <w:color w:val="000000"/>
          <w:sz w:val="44"/>
          <w:szCs w:val="44"/>
        </w:rPr>
      </w:r>
      <w:r/>
    </w:p>
    <w:p>
      <w:pPr>
        <w:jc w:val="center"/>
        <w:keepLines/>
        <w:keepNext/>
        <w:pageBreakBefore/>
        <w:rPr>
          <w:b/>
          <w:color w:val="000000"/>
          <w:sz w:val="44"/>
          <w:szCs w:val="44"/>
        </w:rPr>
      </w:pPr>
      <w:r>
        <w:rPr>
          <w:rFonts w:hint="eastAsia"/>
          <w:b/>
          <w:color w:val="000000"/>
          <w:sz w:val="44"/>
          <w:szCs w:val="44"/>
        </w:rPr>
        <w:t xml:space="preserve">目 录</w:t>
      </w:r>
      <w:r/>
    </w:p>
    <w:p>
      <w:pPr>
        <w:pStyle w:val="885"/>
        <w:tabs>
          <w:tab w:val="right" w:pos="9185" w:leader="dot"/>
        </w:tabs>
      </w:pPr>
      <w:r>
        <w:rPr>
          <w:color w:val="000000"/>
        </w:rPr>
        <w:fldChar w:fldCharType="begin"/>
      </w:r>
      <w:r>
        <w:rPr>
          <w:color w:val="000000"/>
        </w:rPr>
        <w:instrText xml:space="preserve">TOC \o "1-1" \h \u </w:instrText>
      </w:r>
      <w:r>
        <w:rPr>
          <w:color w:val="000000"/>
        </w:rPr>
        <w:fldChar w:fldCharType="separate"/>
      </w:r>
      <w:r>
        <w:rPr>
          <w:color w:val="000000"/>
        </w:rPr>
        <w:fldChar w:fldCharType="begin"/>
      </w:r>
      <w:r>
        <w:instrText xml:space="preserve"> HYPERLINK \l _Toc3931 </w:instrText>
      </w:r>
      <w:r>
        <w:fldChar w:fldCharType="separate"/>
      </w:r>
      <w:r>
        <w:rPr>
          <w:rFonts w:hint="eastAsia" w:eastAsia="黑体"/>
        </w:rPr>
        <w:t xml:space="preserve">第一章  投标邀请</w:t>
      </w:r>
      <w:r>
        <w:tab/>
      </w:r>
      <w:r>
        <w:fldChar w:fldCharType="begin"/>
      </w:r>
      <w:r>
        <w:instrText xml:space="preserve"> PAGEREF _Toc3931 \h </w:instrText>
      </w:r>
      <w:r>
        <w:fldChar w:fldCharType="separate"/>
      </w:r>
      <w:r>
        <w:t xml:space="preserve">1</w:t>
      </w:r>
      <w:r>
        <w:fldChar w:fldCharType="end"/>
      </w:r>
      <w:r>
        <w:rPr>
          <w:color w:val="000000"/>
        </w:rPr>
        <w:fldChar w:fldCharType="end"/>
      </w:r>
      <w:r/>
    </w:p>
    <w:p>
      <w:pPr>
        <w:pStyle w:val="885"/>
        <w:tabs>
          <w:tab w:val="right" w:pos="9185" w:leader="dot"/>
        </w:tabs>
      </w:pPr>
      <w:r>
        <w:rPr>
          <w:color w:val="000000"/>
        </w:rPr>
        <w:fldChar w:fldCharType="begin"/>
      </w:r>
      <w:r>
        <w:instrText xml:space="preserve"> HYPERLINK \l _Toc21587 </w:instrText>
      </w:r>
      <w:r>
        <w:fldChar w:fldCharType="separate"/>
      </w:r>
      <w:r>
        <w:rPr>
          <w:rFonts w:hint="eastAsia" w:ascii="Calibri" w:hAnsi="Calibri" w:eastAsia="宋体" w:cs="Times New Roman"/>
          <w:szCs w:val="44"/>
        </w:rPr>
        <w:t xml:space="preserve">第三章  资格审查及评标方法</w:t>
      </w:r>
      <w:r>
        <w:tab/>
      </w:r>
      <w:r>
        <w:fldChar w:fldCharType="begin"/>
      </w:r>
      <w:r>
        <w:instrText xml:space="preserve"> PAGEREF _Toc21587 \h </w:instrText>
      </w:r>
      <w:r>
        <w:fldChar w:fldCharType="separate"/>
      </w:r>
      <w:r>
        <w:t xml:space="preserve">19</w:t>
      </w:r>
      <w:r>
        <w:fldChar w:fldCharType="end"/>
      </w:r>
      <w:r>
        <w:rPr>
          <w:color w:val="000000"/>
        </w:rPr>
        <w:fldChar w:fldCharType="end"/>
      </w:r>
      <w:r/>
    </w:p>
    <w:p>
      <w:pPr>
        <w:pStyle w:val="885"/>
        <w:tabs>
          <w:tab w:val="right" w:pos="9185" w:leader="dot"/>
        </w:tabs>
      </w:pPr>
      <w:r>
        <w:rPr>
          <w:color w:val="000000"/>
        </w:rPr>
        <w:fldChar w:fldCharType="begin"/>
      </w:r>
      <w:r>
        <w:instrText xml:space="preserve"> HYPERLINK \l _Toc6879 </w:instrText>
      </w:r>
      <w:r>
        <w:fldChar w:fldCharType="separate"/>
      </w:r>
      <w:r>
        <w:rPr>
          <w:rFonts w:hint="eastAsia"/>
          <w:szCs w:val="44"/>
        </w:rPr>
        <w:t xml:space="preserve">第四章</w:t>
      </w:r>
      <w:r>
        <w:rPr>
          <w:szCs w:val="44"/>
        </w:rPr>
        <w:t xml:space="preserve">  </w:t>
      </w:r>
      <w:r>
        <w:rPr>
          <w:rFonts w:hint="eastAsia"/>
          <w:szCs w:val="44"/>
        </w:rPr>
        <w:t xml:space="preserve">采购需求</w:t>
      </w:r>
      <w:r>
        <w:tab/>
      </w:r>
      <w:r>
        <w:fldChar w:fldCharType="begin"/>
      </w:r>
      <w:r>
        <w:instrText xml:space="preserve"> PAGEREF _Toc6879 \h </w:instrText>
      </w:r>
      <w:r>
        <w:fldChar w:fldCharType="separate"/>
      </w:r>
      <w:r>
        <w:t xml:space="preserve">22</w:t>
      </w:r>
      <w:r>
        <w:fldChar w:fldCharType="end"/>
      </w:r>
      <w:r>
        <w:rPr>
          <w:color w:val="000000"/>
        </w:rPr>
        <w:fldChar w:fldCharType="end"/>
      </w:r>
      <w:r/>
    </w:p>
    <w:p>
      <w:pPr>
        <w:pStyle w:val="885"/>
        <w:tabs>
          <w:tab w:val="right" w:pos="9185" w:leader="dot"/>
        </w:tabs>
      </w:pPr>
      <w:r>
        <w:rPr>
          <w:color w:val="000000"/>
        </w:rPr>
        <w:fldChar w:fldCharType="begin"/>
      </w:r>
      <w:r>
        <w:instrText xml:space="preserve"> HYPERLINK \l _Toc28942 </w:instrText>
      </w:r>
      <w:r>
        <w:fldChar w:fldCharType="separate"/>
      </w:r>
      <w:r>
        <w:rPr>
          <w:rFonts w:hint="eastAsia"/>
          <w:szCs w:val="44"/>
        </w:rPr>
        <w:t xml:space="preserve">第六章  投标文件格式</w:t>
      </w:r>
      <w:r>
        <w:tab/>
      </w:r>
      <w:r>
        <w:fldChar w:fldCharType="begin"/>
      </w:r>
      <w:r>
        <w:instrText xml:space="preserve"> PAGEREF _Toc28942 \h </w:instrText>
      </w:r>
      <w:r>
        <w:fldChar w:fldCharType="separate"/>
      </w:r>
      <w:r>
        <w:t xml:space="preserve">106</w:t>
      </w:r>
      <w:r>
        <w:fldChar w:fldCharType="end"/>
      </w:r>
      <w:r>
        <w:rPr>
          <w:color w:val="000000"/>
        </w:rPr>
        <w:fldChar w:fldCharType="end"/>
      </w:r>
      <w:r/>
    </w:p>
    <w:p>
      <w:pPr>
        <w:pStyle w:val="885"/>
        <w:tabs>
          <w:tab w:val="right" w:pos="9185" w:leader="dot"/>
        </w:tabs>
      </w:pPr>
      <w:r>
        <w:rPr>
          <w:color w:val="000000"/>
        </w:rPr>
        <w:fldChar w:fldCharType="begin"/>
      </w:r>
      <w:r>
        <w:instrText xml:space="preserve"> HYPERLINK \l _Toc29309 </w:instrText>
      </w:r>
      <w:r>
        <w:fldChar w:fldCharType="separate"/>
      </w:r>
      <w:r>
        <w:rPr>
          <w:rFonts w:hint="eastAsia" w:ascii="仿宋" w:hAnsi="仿宋" w:eastAsia="仿宋" w:cs="仿宋"/>
          <w:bCs/>
          <w:szCs w:val="32"/>
        </w:rPr>
        <w:t xml:space="preserve">质疑函范本</w:t>
      </w:r>
      <w:r>
        <w:tab/>
      </w:r>
      <w:r>
        <w:fldChar w:fldCharType="begin"/>
      </w:r>
      <w:r>
        <w:instrText xml:space="preserve"> PAGEREF _Toc29309 \h </w:instrText>
      </w:r>
      <w:r>
        <w:fldChar w:fldCharType="separate"/>
      </w:r>
      <w:r>
        <w:t xml:space="preserve">122</w:t>
      </w:r>
      <w:r>
        <w:fldChar w:fldCharType="end"/>
      </w:r>
      <w:r>
        <w:rPr>
          <w:color w:val="000000"/>
        </w:rPr>
        <w:fldChar w:fldCharType="end"/>
      </w:r>
      <w:r/>
    </w:p>
    <w:p>
      <w:pPr>
        <w:rPr>
          <w:color w:val="000000"/>
        </w:rPr>
      </w:pPr>
      <w:r>
        <w:rPr>
          <w:color w:val="000000"/>
        </w:rPr>
        <w:fldChar w:fldCharType="end"/>
      </w:r>
      <w:r/>
    </w:p>
    <w:p>
      <w:pPr>
        <w:jc w:val="center"/>
        <w:keepLines/>
        <w:keepNext/>
        <w:pageBreakBefore/>
        <w:rPr>
          <w:b/>
          <w:color w:val="000000"/>
          <w:sz w:val="44"/>
          <w:szCs w:val="44"/>
        </w:rPr>
        <w:sectPr>
          <w:footerReference w:type="default" r:id="rId12"/>
          <w:footnotePr/>
          <w:endnotePr/>
          <w:type w:val="nextPage"/>
          <w:pgSz w:w="11907" w:h="16840" w:orient="portrait"/>
          <w:pgMar w:top="1474" w:right="1304" w:bottom="1474" w:left="1418" w:header="851" w:footer="851" w:gutter="0"/>
          <w:pgNumType w:start="1"/>
          <w:cols w:num="1" w:sep="0" w:space="1701" w:equalWidth="1"/>
          <w:docGrid w:linePitch="360"/>
        </w:sectPr>
        <w:outlineLvl w:val="0"/>
      </w:pPr>
      <w:r/>
      <w:bookmarkStart w:id="2" w:name="_Toc81575152"/>
      <w:r/>
      <w:bookmarkStart w:id="3" w:name="_Toc81575189"/>
      <w:r/>
      <w:r/>
    </w:p>
    <w:p>
      <w:pPr>
        <w:pStyle w:val="904"/>
        <w:jc w:val="center"/>
        <w:spacing w:before="200"/>
        <w:rPr>
          <w:rFonts w:eastAsia="黑体"/>
          <w:color w:val="000000"/>
          <w:sz w:val="44"/>
        </w:rPr>
      </w:pPr>
      <w:r/>
      <w:bookmarkStart w:id="4" w:name="_Toc3931"/>
      <w:r/>
      <w:bookmarkStart w:id="5" w:name="_Toc30943"/>
      <w:r/>
      <w:bookmarkStart w:id="6" w:name="_Toc25722"/>
      <w:r>
        <w:rPr>
          <w:rFonts w:hint="eastAsia" w:eastAsia="黑体"/>
          <w:color w:val="000000"/>
          <w:sz w:val="44"/>
        </w:rPr>
        <w:t xml:space="preserve">第一章  投标邀请</w:t>
      </w:r>
      <w:bookmarkEnd w:id="2"/>
      <w:r/>
      <w:bookmarkEnd w:id="3"/>
      <w:r/>
      <w:bookmarkEnd w:id="4"/>
      <w:r/>
      <w:bookmarkEnd w:id="5"/>
      <w:r/>
      <w:bookmarkEnd w:id="6"/>
      <w:r/>
      <w:r/>
    </w:p>
    <w:p>
      <w:pPr>
        <w:ind w:firstLine="480"/>
        <w:spacing w:line="360" w:lineRule="auto"/>
        <w:rPr>
          <w:rFonts w:ascii="Times New Roman" w:hAnsi="Times New Roman" w:cs="方正仿宋_GBK"/>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rPr>
        <w:t xml:space="preserve">江苏沭阳中等专业学校</w:t>
      </w:r>
      <w:r>
        <w:rPr>
          <w:rFonts w:hint="eastAsia" w:ascii="宋体" w:hAnsi="宋体"/>
          <w:color w:val="000000"/>
          <w:sz w:val="24"/>
          <w:szCs w:val="24"/>
        </w:rPr>
        <w:t xml:space="preserve">的委托，</w:t>
      </w:r>
      <w:r>
        <w:rPr>
          <w:rFonts w:hint="eastAsia" w:ascii="宋体" w:hAnsi="宋体"/>
          <w:color w:val="000000"/>
          <w:sz w:val="24"/>
          <w:szCs w:val="24"/>
          <w:u w:val="single"/>
        </w:rPr>
        <w:t xml:space="preserve">江苏吉之恒工程管理有限公司</w:t>
      </w:r>
      <w:r>
        <w:rPr>
          <w:rFonts w:hint="eastAsia" w:ascii="Times New Roman" w:hAnsi="Times New Roman" w:cs="方正仿宋_GBK"/>
          <w:color w:val="000000"/>
          <w:sz w:val="24"/>
          <w:szCs w:val="24"/>
        </w:rPr>
        <w:t xml:space="preserve">就</w:t>
      </w:r>
      <w:r>
        <w:rPr>
          <w:rFonts w:hint="eastAsia" w:ascii="宋体" w:hAnsi="宋体"/>
          <w:color w:val="000000"/>
          <w:sz w:val="24"/>
          <w:szCs w:val="24"/>
          <w:u w:val="single"/>
        </w:rPr>
        <w:t xml:space="preserve">沭阳县智慧康养及托幼实训基地项目（</w:t>
      </w:r>
      <w:r>
        <w:rPr>
          <w:rFonts w:hint="eastAsia" w:ascii="宋体" w:hAnsi="宋体"/>
          <w:color w:val="000000"/>
          <w:sz w:val="24"/>
          <w:szCs w:val="24"/>
          <w:u w:val="single"/>
          <w:lang w:eastAsia="zh-CN"/>
        </w:rPr>
        <w:t xml:space="preserve">JSZC-321322-JZHZ-G2026-0005</w:t>
      </w:r>
      <w:r>
        <w:rPr>
          <w:rFonts w:hint="eastAsia" w:ascii="宋体" w:hAnsi="宋体"/>
          <w:color w:val="000000"/>
          <w:sz w:val="24"/>
          <w:szCs w:val="24"/>
          <w:u w:val="single"/>
        </w:rPr>
        <w:t xml:space="preserve">）</w:t>
      </w:r>
      <w:r>
        <w:rPr>
          <w:rFonts w:hint="eastAsia" w:ascii="Times New Roman" w:hAnsi="Times New Roman" w:cs="方正仿宋_GBK"/>
          <w:color w:val="000000"/>
          <w:sz w:val="24"/>
          <w:szCs w:val="24"/>
        </w:rPr>
        <w:t xml:space="preserve">进行公开招标采购，欢迎符合条件的投标人投标。</w:t>
      </w:r>
      <w:r/>
    </w:p>
    <w:p>
      <w:pPr>
        <w:spacing w:line="360" w:lineRule="auto"/>
        <w:rPr>
          <w:rFonts w:ascii="Times New Roman" w:hAnsi="Times New Roman"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rPr>
        <w:t xml:space="preserve">项目概况</w:t>
      </w:r>
      <w:r/>
    </w:p>
    <w:p>
      <w:pPr>
        <w:ind w:firstLine="480"/>
        <w:spacing w:line="360" w:lineRule="auto"/>
        <w:rPr>
          <w:rFonts w:hint="eastAsia" w:ascii="方正仿宋_GBK" w:hAnsi="方正仿宋_GBK" w:eastAsia="方正仿宋_GBK"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沭阳县智慧康养及托幼实训基地项目</w:t>
      </w:r>
      <w:r>
        <w:rPr>
          <w:rFonts w:hint="eastAsia" w:ascii="Times New Roman" w:hAnsi="Times New Roman" w:cs="方正仿宋_GBK"/>
          <w:color w:val="000000"/>
          <w:sz w:val="24"/>
          <w:szCs w:val="24"/>
        </w:rPr>
        <w:t xml:space="preserve">的潜在投标人可在“江苏政府采购网”“</w:t>
      </w:r>
      <w:r>
        <w:rPr>
          <w:rFonts w:hint="eastAsia" w:ascii="Times New Roman" w:hAnsi="Times New Roman" w:cs="方正仿宋_GBK"/>
          <w:color w:val="000000"/>
          <w:sz w:val="24"/>
          <w:szCs w:val="24"/>
          <w:u w:val="single"/>
        </w:rPr>
        <w:t xml:space="preserve">宿迁市政府采购网”自行免费</w:t>
      </w:r>
      <w:r>
        <w:rPr>
          <w:rFonts w:hint="eastAsia" w:ascii="Times New Roman" w:hAnsi="Times New Roman" w:cs="方正仿宋_GBK"/>
          <w:color w:val="000000"/>
          <w:sz w:val="24"/>
          <w:szCs w:val="24"/>
        </w:rPr>
        <w:t xml:space="preserve">获取招标文件，并于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5</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18</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rPr>
          <w:rFonts w:hint="eastAsia" w:ascii="Times New Roman" w:hAnsi="Times New Roman" w:cs="方正仿宋_GBK"/>
          <w:bCs/>
          <w:color w:val="000000"/>
          <w:sz w:val="24"/>
          <w:szCs w:val="24"/>
        </w:rPr>
        <w:t xml:space="preserve">前递交投标文件</w:t>
      </w:r>
      <w:r>
        <w:rPr>
          <w:rFonts w:hint="eastAsia" w:ascii="Times New Roman" w:hAnsi="Times New Roman" w:cs="方正仿宋_GBK"/>
          <w:color w:val="000000"/>
          <w:sz w:val="24"/>
          <w:szCs w:val="24"/>
        </w:rPr>
        <w:t xml:space="preserve">。</w:t>
      </w:r>
      <w:r/>
    </w:p>
    <w:p>
      <w:pPr>
        <w:pStyle w:val="905"/>
        <w:ind w:firstLine="643"/>
        <w:spacing w:before="0" w:after="0" w:line="360" w:lineRule="auto"/>
        <w:rPr>
          <w:rFonts w:eastAsia="宋体" w:cs="Arial"/>
          <w:bCs/>
          <w:color w:val="000000"/>
          <w:szCs w:val="22"/>
        </w:rPr>
      </w:pPr>
      <w:r/>
      <w:bookmarkStart w:id="7" w:name="_Toc35393621"/>
      <w:r/>
      <w:bookmarkStart w:id="8" w:name="_Toc35393790"/>
      <w:r/>
      <w:bookmarkStart w:id="9" w:name="_Toc38985263"/>
      <w:r/>
      <w:bookmarkStart w:id="10" w:name="_Toc28359079"/>
      <w:r/>
      <w:bookmarkStart w:id="11" w:name="_Toc28359002"/>
      <w:r/>
      <w:bookmarkStart w:id="12" w:name="_Toc2584"/>
      <w:r/>
      <w:bookmarkStart w:id="13" w:name="_Hlk24379207"/>
      <w:r>
        <w:rPr>
          <w:rFonts w:hint="eastAsia" w:eastAsia="宋体" w:cs="Arial"/>
          <w:bCs/>
          <w:color w:val="000000"/>
          <w:szCs w:val="22"/>
        </w:rPr>
        <w:t xml:space="preserve">一、项目基本情况</w:t>
      </w:r>
      <w:bookmarkEnd w:id="7"/>
      <w:r/>
      <w:bookmarkEnd w:id="8"/>
      <w:r/>
      <w:bookmarkEnd w:id="9"/>
      <w:r/>
      <w:bookmarkEnd w:id="10"/>
      <w:r/>
      <w:bookmarkEnd w:id="11"/>
      <w:r/>
      <w:bookmarkEnd w:id="12"/>
      <w:r/>
      <w:r/>
    </w:p>
    <w:p>
      <w:pPr>
        <w:ind w:firstLine="480"/>
        <w:spacing w:line="360" w:lineRule="auto"/>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1.项目编号：</w:t>
      </w:r>
      <w:r>
        <w:rPr>
          <w:rFonts w:hint="eastAsia" w:ascii="Times New Roman" w:hAnsi="Times New Roman" w:cs="仿宋"/>
          <w:color w:val="000000"/>
          <w:sz w:val="24"/>
          <w:szCs w:val="24"/>
          <w:lang w:eastAsia="zh-CN"/>
        </w:rPr>
        <w:t xml:space="preserve">JSZC-321322-JZHZ-G2026-0005</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2.项目名称：</w:t>
      </w:r>
      <w:bookmarkEnd w:id="13"/>
      <w:r>
        <w:rPr>
          <w:rFonts w:hint="eastAsia" w:ascii="Times New Roman" w:hAnsi="Times New Roman" w:cs="仿宋"/>
          <w:color w:val="000000"/>
          <w:sz w:val="24"/>
          <w:szCs w:val="24"/>
        </w:rPr>
        <w:t xml:space="preserve">沭阳县智慧康养及托幼实训基地项目</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3.预算金额：450万元。</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4.本项目设定最高限价，最高限价为</w:t>
      </w:r>
      <w:bookmarkStart w:id="14" w:name="EB6c1f3d39c6914ae1bada8ccaa777b37a"/>
      <w:r>
        <w:rPr>
          <w:rFonts w:hint="eastAsia" w:ascii="Times New Roman" w:hAnsi="Times New Roman" w:cs="仿宋"/>
          <w:color w:val="000000"/>
          <w:sz w:val="24"/>
          <w:szCs w:val="24"/>
        </w:rPr>
        <w:t xml:space="preserve">450万元，高于此限价作无效标处理。</w:t>
      </w:r>
      <w:bookmarkEnd w:id="14"/>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5.采购需求（简介）：1.建设智慧康养实训</w:t>
      </w:r>
      <w:r>
        <w:rPr>
          <w:rFonts w:hint="eastAsia" w:ascii="Times New Roman" w:hAnsi="Times New Roman" w:cs="仿宋"/>
          <w:sz w:val="24"/>
          <w:szCs w:val="24"/>
          <w:highlight w:val="none"/>
        </w:rPr>
        <w:t xml:space="preserve">基地</w:t>
      </w:r>
      <w:r>
        <w:rPr>
          <w:rFonts w:hint="eastAsia" w:ascii="Times New Roman" w:hAnsi="Times New Roman" w:cs="仿宋"/>
          <w:color w:val="000000"/>
          <w:sz w:val="24"/>
          <w:szCs w:val="24"/>
        </w:rPr>
        <w:t xml:space="preserve">，模拟学习当前养老机构运营、管理流程，包括老年能力评估、居家照护养老、机构养老、医疗康复、智慧看护、人文关怀等多种真实场景；2.建设托育服务实训室，是配合新设婴幼儿托育服务与管理专业开展实训和教学工作的新型实训室，主要承担0-3托育课程的专业技能实训教学。专业技能实训室包括基础技能、核心技能和拓展技能三大部分。详细参数见第四章采购需求。</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6.合同履约期限：自合同签订之日起60日历天。</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7.本项目不接受联合体投标。</w:t>
      </w:r>
      <w:r/>
    </w:p>
    <w:p>
      <w:pPr>
        <w:pStyle w:val="905"/>
        <w:ind w:firstLine="643"/>
        <w:spacing w:before="0" w:after="0" w:line="360" w:lineRule="auto"/>
        <w:rPr>
          <w:rFonts w:eastAsia="宋体" w:cs="Arial"/>
          <w:bCs/>
          <w:color w:val="000000"/>
          <w:szCs w:val="22"/>
        </w:rPr>
      </w:pPr>
      <w:r/>
      <w:bookmarkStart w:id="15" w:name="_Toc28359080"/>
      <w:r/>
      <w:bookmarkStart w:id="16" w:name="_Toc35393622"/>
      <w:r/>
      <w:bookmarkStart w:id="17" w:name="_Toc28359003"/>
      <w:r/>
      <w:bookmarkStart w:id="18" w:name="_Toc27291"/>
      <w:r/>
      <w:bookmarkStart w:id="19" w:name="_Toc38985264"/>
      <w:r/>
      <w:bookmarkStart w:id="20" w:name="_Toc35393791"/>
      <w:r>
        <w:rPr>
          <w:rFonts w:hint="eastAsia" w:eastAsia="宋体" w:cs="Arial"/>
          <w:bCs/>
          <w:color w:val="000000"/>
          <w:szCs w:val="22"/>
        </w:rPr>
        <w:t xml:space="preserve">二、申请人的资格要求</w:t>
      </w:r>
      <w:bookmarkEnd w:id="15"/>
      <w:r/>
      <w:bookmarkEnd w:id="16"/>
      <w:r/>
      <w:bookmarkEnd w:id="17"/>
      <w:r/>
      <w:bookmarkEnd w:id="18"/>
      <w:r/>
      <w:bookmarkEnd w:id="19"/>
      <w:r/>
      <w:bookmarkEnd w:id="20"/>
      <w:r/>
      <w:r/>
    </w:p>
    <w:p>
      <w:pPr>
        <w:ind w:firstLine="480"/>
        <w:spacing w:line="360" w:lineRule="auto"/>
        <w:rPr>
          <w:rFonts w:ascii="Times New Roman" w:hAnsi="Times New Roman" w:cs="仿宋"/>
          <w:color w:val="000000"/>
          <w:sz w:val="24"/>
          <w:szCs w:val="24"/>
        </w:rPr>
      </w:pPr>
      <w:r/>
      <w:bookmarkStart w:id="21" w:name="_Toc28359004"/>
      <w:r/>
      <w:bookmarkStart w:id="22" w:name="_Toc38985265"/>
      <w:r/>
      <w:bookmarkStart w:id="23" w:name="_Toc35393792"/>
      <w:r/>
      <w:bookmarkStart w:id="24" w:name="_Toc35393623"/>
      <w:r/>
      <w:bookmarkStart w:id="25" w:name="_Toc28359081"/>
      <w:r>
        <w:rPr>
          <w:rFonts w:hint="eastAsia" w:ascii="Times New Roman" w:hAnsi="Times New Roman" w:cs="仿宋"/>
          <w:color w:val="000000"/>
          <w:sz w:val="24"/>
          <w:szCs w:val="24"/>
        </w:rPr>
        <w:t xml:space="preserve">（一）通用资格要求</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1.具备《中华人民共和国政府采购法》第二十二条第一款规定的6项条件（按要求提供声明及信用承诺）；</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2.信用信息：</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信用信息查询渠道：“信用中国”网（www.creditchina.gov.cn）、“中国政府采购”网（www.ccgp.gov.cn）、江苏政府采购网（www.ccgp-jiangsu.gov.cn）。</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（二）落实政府采购政策需满足的资格要求：</w:t>
      </w:r>
      <w:bookmarkStart w:id="26" w:name="OLE_LINK32"/>
      <w:r>
        <w:rPr>
          <w:rFonts w:hint="eastAsia" w:ascii="Times New Roman" w:hAnsi="Times New Roman" w:cs="仿宋"/>
          <w:color w:val="000000"/>
          <w:sz w:val="24"/>
          <w:szCs w:val="24"/>
        </w:rPr>
        <w:t xml:space="preserve">本项目为非预留份额的采购项目或采购包，执行价格扣除优惠政策，给予小微型企业、监狱企业或残疾人福利性单位报价15%的扣除，用扣除后的价格参加评审。价格扣除比例对小型企业和微型企业同等对待，不作区分。监狱企业、残疾人福利单位属于小型、微型企业的，不重复享受政策。</w:t>
      </w:r>
      <w:bookmarkEnd w:id="26"/>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（三）本项目特定资格要求：无。</w:t>
      </w:r>
      <w:r/>
    </w:p>
    <w:p>
      <w:pPr>
        <w:pStyle w:val="905"/>
        <w:ind w:firstLine="643"/>
        <w:spacing w:before="0" w:after="0" w:line="360" w:lineRule="auto"/>
        <w:rPr>
          <w:rFonts w:eastAsia="宋体" w:cs="Arial"/>
          <w:bCs/>
          <w:color w:val="000000"/>
          <w:szCs w:val="22"/>
        </w:rPr>
      </w:pPr>
      <w:r/>
      <w:bookmarkStart w:id="27" w:name="_Toc22204"/>
      <w:r>
        <w:rPr>
          <w:rFonts w:hint="eastAsia" w:eastAsia="宋体" w:cs="Arial"/>
          <w:bCs/>
          <w:color w:val="000000"/>
          <w:szCs w:val="22"/>
        </w:rPr>
        <w:t xml:space="preserve">三、获取招标文件</w:t>
      </w:r>
      <w:bookmarkEnd w:id="21"/>
      <w:r/>
      <w:bookmarkEnd w:id="22"/>
      <w:r/>
      <w:bookmarkEnd w:id="23"/>
      <w:r/>
      <w:bookmarkEnd w:id="24"/>
      <w:r/>
      <w:bookmarkEnd w:id="25"/>
      <w:r/>
      <w:bookmarkEnd w:id="27"/>
      <w:r/>
      <w:r/>
    </w:p>
    <w:p>
      <w:pPr>
        <w:ind w:firstLine="480"/>
        <w:spacing w:line="360" w:lineRule="auto"/>
        <w:rPr>
          <w:rFonts w:ascii="Times New Roman" w:hAnsi="Times New Roman" w:cs="仿宋"/>
          <w:color w:val="000000"/>
          <w:sz w:val="24"/>
          <w:szCs w:val="24"/>
        </w:rPr>
      </w:pPr>
      <w:r/>
      <w:bookmarkStart w:id="28" w:name="_Toc28359005"/>
      <w:r/>
      <w:bookmarkStart w:id="29" w:name="_Toc28359082"/>
      <w:r/>
      <w:bookmarkStart w:id="30" w:name="_Toc38985266"/>
      <w:r/>
      <w:bookmarkStart w:id="31" w:name="_Toc35393624"/>
      <w:r/>
      <w:bookmarkStart w:id="32" w:name="_Toc35393793"/>
      <w:r>
        <w:rPr>
          <w:rFonts w:hint="eastAsia" w:ascii="Times New Roman" w:hAnsi="Times New Roman" w:cs="仿宋"/>
          <w:color w:val="000000"/>
          <w:sz w:val="24"/>
          <w:szCs w:val="24"/>
        </w:rPr>
        <w:t xml:space="preserve">1.时间：自招标公告发布之日起5个工作日。</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2.方式：投标人应在招标文件提供的时间内，通过“苏采云”系统（网址： http://jszfcg.jsczt.cn），使用CA锁登录系统后，找到本项目获取招标文件（后缀名为“kedt”）。</w:t>
      </w:r>
      <w:r/>
    </w:p>
    <w:p>
      <w:pPr>
        <w:ind w:firstLine="480"/>
        <w:spacing w:line="360" w:lineRule="auto"/>
        <w:rPr>
          <w:rFonts w:ascii="Times New Roman" w:hAnsi="Times New Roman" w:cs="仿宋"/>
          <w:color w:val="000000"/>
          <w:sz w:val="24"/>
          <w:szCs w:val="24"/>
        </w:rPr>
      </w:pPr>
      <w:r/>
      <w:bookmarkStart w:id="33" w:name="EB0c44ff4da61f4af989d119fe214be450"/>
      <w:r>
        <w:rPr>
          <w:rFonts w:hint="eastAsia" w:ascii="Times New Roman" w:hAnsi="Times New Roman" w:cs="仿宋"/>
          <w:color w:val="000000"/>
          <w:sz w:val="24"/>
          <w:szCs w:val="24"/>
        </w:rPr>
        <w:t xml:space="preserve">3.本项目共分一个采购包。</w:t>
      </w:r>
      <w:bookmarkEnd w:id="33"/>
      <w:r/>
      <w:r/>
    </w:p>
    <w:p>
      <w:pPr>
        <w:pStyle w:val="905"/>
        <w:ind w:firstLine="643"/>
        <w:spacing w:before="0" w:after="0" w:line="360" w:lineRule="auto"/>
        <w:rPr>
          <w:rFonts w:eastAsia="宋体" w:cs="Arial"/>
          <w:bCs/>
          <w:color w:val="000000"/>
          <w:szCs w:val="22"/>
        </w:rPr>
      </w:pPr>
      <w:r/>
      <w:bookmarkStart w:id="34" w:name="_Toc19148"/>
      <w:r>
        <w:rPr>
          <w:rFonts w:hint="eastAsia" w:eastAsia="宋体" w:cs="Arial"/>
          <w:bCs/>
          <w:color w:val="000000"/>
          <w:szCs w:val="22"/>
        </w:rPr>
        <w:t xml:space="preserve">四、提交投标文件</w:t>
      </w:r>
      <w:bookmarkEnd w:id="28"/>
      <w:r/>
      <w:bookmarkEnd w:id="29"/>
      <w:r>
        <w:rPr>
          <w:rFonts w:hint="eastAsia" w:eastAsia="宋体" w:cs="Arial"/>
          <w:bCs/>
          <w:color w:val="000000"/>
          <w:szCs w:val="22"/>
        </w:rPr>
        <w:t xml:space="preserve">截止时间、开标时间和地点</w:t>
      </w:r>
      <w:bookmarkEnd w:id="30"/>
      <w:r/>
      <w:bookmarkEnd w:id="31"/>
      <w:r/>
      <w:bookmarkEnd w:id="32"/>
      <w:r/>
      <w:bookmarkEnd w:id="34"/>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1.提交投标文件截止时间、开标时间：2026年</w:t>
      </w:r>
      <w:r>
        <w:rPr>
          <w:rFonts w:hint="eastAsia" w:ascii="Times New Roman" w:hAnsi="Times New Roman" w:cs="仿宋"/>
          <w:color w:val="000000"/>
          <w:sz w:val="24"/>
          <w:szCs w:val="24"/>
          <w:lang w:val="en-US" w:eastAsia="zh-CN"/>
        </w:rPr>
        <w:t xml:space="preserve">5</w:t>
      </w:r>
      <w:r>
        <w:rPr>
          <w:rFonts w:hint="eastAsia" w:ascii="Times New Roman" w:hAnsi="Times New Roman" w:cs="仿宋"/>
          <w:color w:val="000000"/>
          <w:sz w:val="24"/>
          <w:szCs w:val="24"/>
        </w:rPr>
        <w:t xml:space="preserve">月</w:t>
      </w:r>
      <w:r>
        <w:rPr>
          <w:rFonts w:hint="eastAsia" w:ascii="Times New Roman" w:hAnsi="Times New Roman" w:cs="仿宋"/>
          <w:color w:val="000000"/>
          <w:sz w:val="24"/>
          <w:szCs w:val="24"/>
          <w:lang w:val="en-US" w:eastAsia="zh-CN"/>
        </w:rPr>
        <w:t xml:space="preserve">18</w:t>
      </w:r>
      <w:bookmarkStart w:id="184" w:name="_GoBack"/>
      <w:r/>
      <w:bookmarkEnd w:id="184"/>
      <w:r>
        <w:rPr>
          <w:rFonts w:hint="eastAsia" w:ascii="Times New Roman" w:hAnsi="Times New Roman" w:cs="仿宋"/>
          <w:color w:val="000000"/>
          <w:sz w:val="24"/>
          <w:szCs w:val="24"/>
        </w:rPr>
        <w:t xml:space="preserve">日9点30分（北京时间）</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2.地点：“苏采云”政府采购交易系统网上开标大厅。</w:t>
      </w:r>
      <w:r/>
    </w:p>
    <w:p>
      <w:pPr>
        <w:pStyle w:val="905"/>
        <w:ind w:firstLine="643"/>
        <w:spacing w:before="0" w:after="0" w:line="360" w:lineRule="auto"/>
        <w:rPr>
          <w:rFonts w:eastAsia="宋体" w:cs="Arial"/>
          <w:bCs/>
          <w:color w:val="000000"/>
          <w:szCs w:val="22"/>
        </w:rPr>
      </w:pPr>
      <w:r/>
      <w:bookmarkStart w:id="35" w:name="_Toc35393794"/>
      <w:r/>
      <w:bookmarkStart w:id="36" w:name="_Toc28359084"/>
      <w:r/>
      <w:bookmarkStart w:id="37" w:name="_Toc38985267"/>
      <w:r/>
      <w:bookmarkStart w:id="38" w:name="_Toc28359007"/>
      <w:r/>
      <w:bookmarkStart w:id="39" w:name="_Toc35393625"/>
      <w:r/>
      <w:bookmarkStart w:id="40" w:name="_Toc24820"/>
      <w:r>
        <w:rPr>
          <w:rFonts w:hint="eastAsia" w:eastAsia="宋体" w:cs="Arial"/>
          <w:bCs/>
          <w:color w:val="000000"/>
          <w:szCs w:val="22"/>
        </w:rPr>
        <w:t xml:space="preserve">五、公告期限</w:t>
      </w:r>
      <w:bookmarkEnd w:id="35"/>
      <w:r/>
      <w:bookmarkEnd w:id="36"/>
      <w:r/>
      <w:bookmarkEnd w:id="37"/>
      <w:r/>
      <w:bookmarkEnd w:id="38"/>
      <w:r/>
      <w:bookmarkEnd w:id="39"/>
      <w:r/>
      <w:bookmarkEnd w:id="40"/>
      <w:r/>
      <w:r/>
    </w:p>
    <w:p>
      <w:pPr>
        <w:ind w:firstLine="480"/>
        <w:spacing w:line="360" w:lineRule="auto"/>
        <w:rPr>
          <w:rFonts w:ascii="Times New Roman" w:hAnsi="Times New Roman" w:cs="仿宋"/>
          <w:color w:val="000000"/>
          <w:sz w:val="24"/>
          <w:szCs w:val="24"/>
        </w:rPr>
      </w:pPr>
      <w:r/>
      <w:bookmarkStart w:id="41" w:name="_Toc35393795"/>
      <w:r/>
      <w:bookmarkStart w:id="42" w:name="_Toc35393626"/>
      <w:r/>
      <w:bookmarkStart w:id="43" w:name="_Toc38985268"/>
      <w:r>
        <w:rPr>
          <w:rFonts w:hint="eastAsia" w:ascii="Times New Roman" w:hAnsi="Times New Roman" w:cs="仿宋"/>
          <w:color w:val="000000"/>
          <w:sz w:val="24"/>
          <w:szCs w:val="24"/>
        </w:rPr>
        <w:t xml:space="preserve">招标公告及招标文件公告期限为自本公告发布之日起5个工作日。</w:t>
      </w:r>
      <w:r/>
    </w:p>
    <w:p>
      <w:pPr>
        <w:pStyle w:val="905"/>
        <w:ind w:firstLine="643"/>
        <w:spacing w:before="0" w:after="0" w:line="360" w:lineRule="auto"/>
        <w:rPr>
          <w:rFonts w:eastAsia="宋体" w:cs="Arial"/>
          <w:bCs/>
          <w:color w:val="000000"/>
          <w:szCs w:val="22"/>
        </w:rPr>
      </w:pPr>
      <w:r/>
      <w:bookmarkStart w:id="44" w:name="_Toc13415"/>
      <w:r>
        <w:rPr>
          <w:rFonts w:hint="eastAsia" w:eastAsia="宋体" w:cs="Arial"/>
          <w:bCs/>
          <w:color w:val="000000"/>
          <w:szCs w:val="22"/>
        </w:rPr>
        <w:t xml:space="preserve">六、其他补充事宜</w:t>
      </w:r>
      <w:bookmarkEnd w:id="41"/>
      <w:r/>
      <w:bookmarkEnd w:id="42"/>
      <w:r/>
      <w:bookmarkEnd w:id="43"/>
      <w:r/>
      <w:bookmarkEnd w:id="44"/>
      <w:r/>
      <w:r/>
    </w:p>
    <w:p>
      <w:pPr>
        <w:ind w:firstLine="480"/>
        <w:spacing w:line="360" w:lineRule="auto"/>
        <w:rPr>
          <w:rFonts w:ascii="Times New Roman" w:hAnsi="Times New Roman" w:cs="仿宋"/>
          <w:color w:val="000000"/>
          <w:sz w:val="24"/>
          <w:szCs w:val="24"/>
        </w:rPr>
      </w:pPr>
      <w:r/>
      <w:bookmarkStart w:id="45" w:name="EB64e1f522fd8c43fcb4d3ba471386b3e7"/>
      <w:r/>
      <w:bookmarkStart w:id="46" w:name="_Toc28359085"/>
      <w:r/>
      <w:bookmarkStart w:id="47" w:name="_Toc28359008"/>
      <w:r/>
      <w:bookmarkStart w:id="48" w:name="_Toc35393627"/>
      <w:r/>
      <w:bookmarkStart w:id="49" w:name="_Toc29049"/>
      <w:r/>
      <w:bookmarkStart w:id="50" w:name="_Toc35393796"/>
      <w:r/>
      <w:bookmarkStart w:id="51" w:name="_Toc38985269"/>
      <w:r>
        <w:rPr>
          <w:rFonts w:hint="eastAsia" w:ascii="Times New Roman" w:hAnsi="Times New Roman" w:cs="仿宋"/>
          <w:color w:val="000000"/>
          <w:sz w:val="24"/>
          <w:szCs w:val="24"/>
        </w:rPr>
        <w:t xml:space="preserve">1.招标公告发布媒体：江苏省政府采购网、宿迁市政府采购网等。</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3.宿迁地区“苏采云”系统技术支持客服电话：0519-86722806、0519-86722802。</w:t>
      </w:r>
      <w:bookmarkEnd w:id="45"/>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4.现场勘察及答疑：本项目不组织集中勘察及答疑，供应商如对采购需求有疑问，请咨询采购单位联系人。</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5.质疑渠道：供应商应以书面形式向采购人或者其委托的采购代理机构提出质疑。质疑超出采购机构代理范围的，供应商应当向采购人提出。接收质疑函的方式：现场接收或邮寄接收。质疑联系部门、联系电话、通讯地址详见采购公告。</w:t>
      </w:r>
      <w:r/>
    </w:p>
    <w:p>
      <w:pPr>
        <w:ind w:firstLine="480"/>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6.有关本次采购的事项若存在变动或修改，敬请及时关注“江苏政府采购网”“宿迁市政府采购网”等更正公告。</w:t>
      </w:r>
      <w:r/>
    </w:p>
    <w:p>
      <w:pPr>
        <w:pStyle w:val="905"/>
        <w:ind w:firstLine="643"/>
        <w:spacing w:before="0" w:after="0" w:line="360" w:lineRule="auto"/>
        <w:rPr>
          <w:rFonts w:eastAsia="宋体" w:cs="Arial"/>
          <w:bCs/>
          <w:color w:val="000000"/>
          <w:szCs w:val="22"/>
        </w:rPr>
      </w:pPr>
      <w:r>
        <w:rPr>
          <w:rFonts w:hint="eastAsia" w:eastAsia="宋体" w:cs="Arial"/>
          <w:bCs/>
          <w:color w:val="000000"/>
          <w:szCs w:val="22"/>
        </w:rPr>
        <w:t xml:space="preserve">七、本次招标联系方式</w:t>
      </w:r>
      <w:bookmarkEnd w:id="46"/>
      <w:r/>
      <w:bookmarkEnd w:id="47"/>
      <w:r/>
      <w:bookmarkEnd w:id="48"/>
      <w:r/>
      <w:bookmarkEnd w:id="49"/>
      <w:r/>
      <w:bookmarkEnd w:id="50"/>
      <w:r/>
      <w:bookmarkEnd w:id="51"/>
      <w:r/>
      <w:r/>
    </w:p>
    <w:p>
      <w:pPr>
        <w:ind w:firstLine="560"/>
        <w:jc w:val="left"/>
        <w:spacing w:line="360" w:lineRule="auto"/>
        <w:widowControl/>
        <w:rPr>
          <w:rFonts w:ascii="Times New Roman" w:hAnsi="Times New Roman" w:cs="宋体"/>
          <w:color w:val="000000"/>
          <w:sz w:val="28"/>
          <w:szCs w:val="28"/>
        </w:rPr>
      </w:pPr>
      <w:r>
        <w:rPr>
          <w:rFonts w:hint="eastAsia" w:ascii="Times New Roman" w:hAnsi="Times New Roman" w:cs="宋体"/>
          <w:color w:val="000000"/>
          <w:sz w:val="28"/>
          <w:szCs w:val="28"/>
        </w:rPr>
        <w:t xml:space="preserve">1.采购人信息</w:t>
      </w:r>
      <w:r/>
    </w:p>
    <w:p>
      <w:pPr>
        <w:ind w:left="441" w:firstLine="139"/>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名 称：</w:t>
      </w:r>
      <w:r>
        <w:rPr>
          <w:rFonts w:hint="eastAsia"/>
          <w:color w:val="000000"/>
          <w:sz w:val="24"/>
          <w:szCs w:val="24"/>
        </w:rPr>
        <w:t xml:space="preserve">江苏沭阳中等专业学校</w:t>
      </w:r>
      <w:r/>
    </w:p>
    <w:p>
      <w:pPr>
        <w:ind w:left="441" w:firstLine="139"/>
        <w:jc w:val="left"/>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地址：沭阳县学院路1号</w:t>
      </w:r>
      <w:r/>
    </w:p>
    <w:p>
      <w:pPr>
        <w:ind w:left="441" w:firstLine="139"/>
        <w:jc w:val="left"/>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联系人：</w:t>
      </w:r>
      <w:r>
        <w:rPr>
          <w:rFonts w:hint="eastAsia"/>
          <w:color w:val="000000"/>
          <w:sz w:val="24"/>
          <w:szCs w:val="24"/>
          <w:highlight w:val="none"/>
        </w:rPr>
        <w:t xml:space="preserve">徐刚</w:t>
      </w:r>
      <w:r/>
    </w:p>
    <w:p>
      <w:pPr>
        <w:ind w:left="441" w:firstLine="139"/>
        <w:jc w:val="left"/>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联系方式：</w:t>
      </w:r>
      <w:bookmarkStart w:id="52" w:name="_Toc28359009"/>
      <w:r/>
      <w:bookmarkStart w:id="53" w:name="_Toc28359086"/>
      <w:r>
        <w:rPr>
          <w:rFonts w:hint="eastAsia" w:ascii="Times New Roman" w:hAnsi="Times New Roman"/>
          <w:color w:val="000000"/>
          <w:sz w:val="24"/>
          <w:szCs w:val="24"/>
          <w:highlight w:val="none"/>
        </w:rPr>
        <w:t xml:space="preserve">15896320887</w:t>
      </w:r>
      <w:r/>
    </w:p>
    <w:p>
      <w:pPr>
        <w:ind w:firstLine="560"/>
        <w:jc w:val="left"/>
        <w:spacing w:line="360" w:lineRule="auto"/>
        <w:widowControl/>
        <w:rPr>
          <w:rFonts w:ascii="Times New Roman" w:hAnsi="Times New Roman" w:cs="宋体"/>
          <w:color w:val="000000"/>
          <w:sz w:val="28"/>
          <w:szCs w:val="28"/>
          <w:highlight w:val="none"/>
        </w:rPr>
      </w:pPr>
      <w:r>
        <w:rPr>
          <w:rFonts w:hint="eastAsia" w:ascii="Times New Roman" w:hAnsi="Times New Roman" w:cs="宋体"/>
          <w:color w:val="000000"/>
          <w:sz w:val="28"/>
          <w:szCs w:val="28"/>
          <w:highlight w:val="none"/>
        </w:rPr>
        <w:t xml:space="preserve">2.采购代理机构信息</w:t>
      </w:r>
      <w:bookmarkEnd w:id="52"/>
      <w:r/>
      <w:bookmarkEnd w:id="53"/>
      <w:r/>
      <w:r/>
    </w:p>
    <w:p>
      <w:pPr>
        <w:ind w:left="441" w:firstLine="139"/>
        <w:jc w:val="left"/>
        <w:spacing w:line="360" w:lineRule="auto"/>
        <w:rPr>
          <w:rFonts w:ascii="Times New Roman" w:hAnsi="Times New Roman"/>
          <w:color w:val="000000"/>
          <w:sz w:val="24"/>
          <w:szCs w:val="24"/>
        </w:rPr>
      </w:pPr>
      <w:r/>
      <w:bookmarkStart w:id="54" w:name="_Toc28359010"/>
      <w:r/>
      <w:bookmarkStart w:id="55" w:name="_Toc28359087"/>
      <w:r>
        <w:rPr>
          <w:rFonts w:hint="eastAsia" w:ascii="Times New Roman" w:hAnsi="Times New Roman"/>
          <w:color w:val="000000"/>
          <w:sz w:val="24"/>
          <w:szCs w:val="24"/>
          <w:highlight w:val="none"/>
        </w:rPr>
        <w:t xml:space="preserve">名 称：</w:t>
      </w:r>
      <w:r>
        <w:rPr>
          <w:rFonts w:hint="eastAsia"/>
          <w:color w:val="000000"/>
          <w:sz w:val="24"/>
          <w:szCs w:val="24"/>
          <w:highlight w:val="none"/>
        </w:rPr>
        <w:t xml:space="preserve">江苏吉之恒工程</w:t>
      </w:r>
      <w:r>
        <w:rPr>
          <w:rFonts w:hint="eastAsia"/>
          <w:color w:val="000000"/>
          <w:sz w:val="24"/>
          <w:szCs w:val="24"/>
        </w:rPr>
        <w:t xml:space="preserve">管理有限公司 </w:t>
      </w:r>
      <w:r/>
    </w:p>
    <w:p>
      <w:pPr>
        <w:ind w:left="441" w:firstLine="139"/>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地址：</w:t>
      </w:r>
      <w:r>
        <w:rPr>
          <w:rFonts w:hint="eastAsia"/>
          <w:color w:val="000000"/>
          <w:sz w:val="24"/>
          <w:szCs w:val="24"/>
        </w:rPr>
        <w:t xml:space="preserve">沭阳县苏州东路201号</w:t>
      </w:r>
      <w:r/>
    </w:p>
    <w:p>
      <w:pPr>
        <w:ind w:left="441" w:firstLine="139"/>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联系人：张茜</w:t>
      </w:r>
      <w:r/>
    </w:p>
    <w:p>
      <w:pPr>
        <w:ind w:left="441" w:firstLine="139"/>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联系方式：</w:t>
      </w:r>
      <w:bookmarkEnd w:id="54"/>
      <w:r/>
      <w:bookmarkEnd w:id="55"/>
      <w:r/>
      <w:bookmarkStart w:id="56" w:name="_Toc15265"/>
      <w:r/>
      <w:bookmarkStart w:id="57" w:name="_Toc81575153"/>
      <w:r/>
      <w:bookmarkStart w:id="58" w:name="_Toc11687"/>
      <w:r/>
      <w:bookmarkStart w:id="59" w:name="_Toc81575190"/>
      <w:r>
        <w:rPr>
          <w:rFonts w:hint="eastAsia" w:ascii="Times New Roman" w:hAnsi="Times New Roman"/>
          <w:color w:val="000000"/>
          <w:sz w:val="24"/>
          <w:szCs w:val="24"/>
        </w:rPr>
        <w:t xml:space="preserve">15250735888</w:t>
      </w:r>
      <w:r/>
    </w:p>
    <w:p>
      <w:pPr>
        <w:rPr>
          <w:rFonts w:eastAsia="黑体"/>
          <w:color w:val="000000"/>
          <w:sz w:val="44"/>
        </w:rPr>
      </w:pPr>
      <w:r>
        <w:rPr>
          <w:rFonts w:hint="eastAsia" w:eastAsia="黑体"/>
          <w:color w:val="000000"/>
          <w:sz w:val="44"/>
        </w:rPr>
        <w:br w:type="page" w:clear="all"/>
      </w:r>
      <w:r/>
    </w:p>
    <w:p>
      <w:pPr>
        <w:ind w:left="441" w:firstLine="139"/>
        <w:jc w:val="center"/>
        <w:spacing w:line="360" w:lineRule="auto"/>
        <w:rPr>
          <w:rFonts w:eastAsia="黑体"/>
          <w:color w:val="000000"/>
          <w:sz w:val="44"/>
        </w:rPr>
      </w:pPr>
      <w:r>
        <w:rPr>
          <w:rFonts w:hint="eastAsia" w:eastAsia="黑体"/>
          <w:color w:val="000000"/>
          <w:sz w:val="44"/>
        </w:rPr>
        <w:t xml:space="preserve">第二章  投标人须知</w:t>
      </w:r>
      <w:bookmarkEnd w:id="56"/>
      <w:r/>
      <w:bookmarkEnd w:id="57"/>
      <w:r/>
      <w:bookmarkEnd w:id="58"/>
      <w:r/>
      <w:bookmarkEnd w:id="59"/>
      <w:r/>
      <w:r/>
    </w:p>
    <w:p>
      <w:pPr>
        <w:pStyle w:val="905"/>
        <w:spacing w:before="0" w:after="120" w:line="520" w:lineRule="exact"/>
        <w:rPr>
          <w:rFonts w:eastAsia="宋体" w:cs="Arial"/>
          <w:bCs/>
          <w:color w:val="000000"/>
          <w:szCs w:val="22"/>
        </w:rPr>
      </w:pPr>
      <w:r/>
      <w:bookmarkStart w:id="60" w:name="_Toc4529"/>
      <w:r>
        <w:rPr>
          <w:rFonts w:hint="eastAsia" w:eastAsia="宋体" w:cs="Arial"/>
          <w:bCs/>
          <w:color w:val="000000"/>
          <w:szCs w:val="22"/>
        </w:rPr>
        <w:t xml:space="preserve">投标人须知前附表：</w:t>
      </w:r>
      <w:bookmarkEnd w:id="60"/>
      <w:r/>
      <w:r/>
    </w:p>
    <w:tbl>
      <w:tblPr>
        <w:tblStyle w:val="875"/>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rPr>
            </w:pPr>
            <w:r/>
            <w:bookmarkStart w:id="61" w:name="_Toc81575154"/>
            <w:r/>
            <w:bookmarkStart w:id="62" w:name="_Toc29262"/>
            <w:r/>
            <w:bookmarkStart w:id="63" w:name="_Toc81575191"/>
            <w:r>
              <w:rPr>
                <w:rFonts w:hint="eastAsia" w:ascii="仿宋_GB2312" w:hAnsi="仿宋"/>
                <w:b/>
                <w:color w:val="000000"/>
                <w:sz w:val="24"/>
                <w:szCs w:val="24"/>
              </w:rPr>
              <w:t xml:space="preserve">序号</w:t>
            </w:r>
            <w:r/>
          </w:p>
        </w:tc>
        <w:tc>
          <w:tcPr>
            <w:tcW w:w="1772" w:type="dxa"/>
            <w:vAlign w:val="center"/>
            <w:textDirection w:val="lrTb"/>
            <w:noWrap w:val="false"/>
          </w:tcPr>
          <w:p>
            <w:pPr>
              <w:jc w:val="center"/>
              <w:rPr>
                <w:rFonts w:hint="eastAsia" w:ascii="仿宋_GB2312" w:hAnsi="仿宋"/>
                <w:b/>
                <w:color w:val="000000"/>
                <w:sz w:val="24"/>
                <w:szCs w:val="24"/>
              </w:rPr>
            </w:pPr>
            <w:r>
              <w:rPr>
                <w:rFonts w:hint="eastAsia" w:ascii="仿宋_GB2312" w:hAnsi="仿宋"/>
                <w:b/>
                <w:color w:val="000000"/>
                <w:sz w:val="24"/>
                <w:szCs w:val="24"/>
              </w:rPr>
              <w:t xml:space="preserve">内容</w:t>
            </w:r>
            <w:r/>
          </w:p>
        </w:tc>
        <w:tc>
          <w:tcPr>
            <w:tcW w:w="6579" w:type="dxa"/>
            <w:vAlign w:val="center"/>
            <w:textDirection w:val="lrTb"/>
            <w:noWrap w:val="false"/>
          </w:tcPr>
          <w:p>
            <w:pPr>
              <w:jc w:val="center"/>
              <w:rPr>
                <w:rFonts w:hint="eastAsia" w:ascii="仿宋_GB2312" w:hAnsi="仿宋"/>
                <w:b/>
                <w:color w:val="000000"/>
                <w:sz w:val="24"/>
                <w:szCs w:val="24"/>
              </w:rPr>
            </w:pPr>
            <w:r>
              <w:rPr>
                <w:rFonts w:hint="eastAsia" w:ascii="仿宋_GB2312" w:hAnsi="仿宋"/>
                <w:b/>
                <w:color w:val="000000"/>
                <w:sz w:val="24"/>
                <w:szCs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w:t>
            </w:r>
            <w:bookmarkStart w:id="64" w:name="EB9a5853ee094f4f0ea6ec3169265f6f2c"/>
            <w:r>
              <w:rPr>
                <w:rFonts w:hint="eastAsia" w:ascii="Times New Roman" w:hAnsi="Times New Roman" w:cs="仿宋"/>
                <w:color w:val="000000"/>
                <w:sz w:val="24"/>
                <w:szCs w:val="24"/>
              </w:rPr>
              <w:t xml:space="preserve">属性按以下第</w:t>
            </w:r>
            <w:bookmarkEnd w:id="64"/>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种确定：</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1.货物</w:t>
            </w:r>
            <w:bookmarkStart w:id="65" w:name="EBd5c6c026f9674c39b21b31ecd0c1e7fa"/>
            <w:r>
              <w:rPr>
                <w:rFonts w:hint="eastAsia" w:ascii="Times New Roman" w:hAnsi="Times New Roman" w:cs="仿宋"/>
                <w:color w:val="000000"/>
                <w:sz w:val="24"/>
                <w:szCs w:val="24"/>
              </w:rPr>
              <w:t xml:space="preserve">采购；2.</w:t>
            </w:r>
            <w:bookmarkEnd w:id="65"/>
            <w:r>
              <w:rPr>
                <w:rFonts w:hint="eastAsia" w:ascii="Times New Roman" w:hAnsi="Times New Roman" w:cs="仿宋"/>
                <w:color w:val="000000"/>
                <w:sz w:val="24"/>
                <w:szCs w:val="24"/>
              </w:rPr>
              <w:t xml:space="preserve">服务</w:t>
            </w:r>
            <w:bookmarkStart w:id="66" w:name="EBf7d2a4f44ecb4166a93ea852e73be69f"/>
            <w:r>
              <w:rPr>
                <w:rFonts w:hint="eastAsia" w:ascii="Times New Roman" w:hAnsi="Times New Roman" w:cs="仿宋"/>
                <w:color w:val="000000"/>
                <w:sz w:val="24"/>
                <w:szCs w:val="24"/>
              </w:rPr>
              <w:t xml:space="preserve">采购；3.</w:t>
            </w:r>
            <w:bookmarkEnd w:id="66"/>
            <w:r>
              <w:rPr>
                <w:rFonts w:hint="eastAsia" w:ascii="Times New Roman" w:hAnsi="Times New Roman" w:cs="仿宋"/>
                <w:color w:val="000000"/>
                <w:sz w:val="24"/>
                <w:szCs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投标有效期</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67" w:name="EBd40b5fb42f2944a3b45e579ce3941f02"/>
            <w:r/>
            <w:bookmarkEnd w:id="67"/>
            <w:r>
              <w:rPr>
                <w:rFonts w:hint="eastAsia" w:ascii="Times New Roman" w:hAnsi="Times New Roman" w:cs="仿宋"/>
                <w:color w:val="000000"/>
                <w:sz w:val="24"/>
                <w:szCs w:val="24"/>
              </w:rPr>
              <w:t xml:space="preserve">60日（从提交投标文件截止之日起算）</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投标文件份数</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提交加密电子投标文件</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份。</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开标</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w:t>
            </w:r>
            <w:r/>
          </w:p>
          <w:p>
            <w:pPr>
              <w:jc w:val="left"/>
              <w:spacing w:line="360" w:lineRule="exact"/>
              <w:widowControl/>
              <w:rPr>
                <w:rFonts w:ascii="Times New Roman" w:hAnsi="Times New Roman" w:cs="仿宋"/>
                <w:color w:val="000000"/>
                <w:sz w:val="24"/>
                <w:szCs w:val="24"/>
              </w:rPr>
            </w:pPr>
            <w:r>
              <w:rPr>
                <w:rFonts w:hint="eastAsia" w:ascii="Times New Roman" w:hAnsi="Times New Roman" w:cs="仿宋"/>
                <w:color w:val="000000"/>
                <w:sz w:val="24"/>
                <w:szCs w:val="24"/>
              </w:rPr>
              <w:t xml:space="preserve">1.接受进口产品。</w:t>
            </w:r>
            <w:r>
              <w:rPr>
                <w:rFonts w:hint="eastAsia" w:ascii="Times New Roman" w:hAnsi="Times New Roman" w:cs="仿宋"/>
                <w:color w:val="000000"/>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rPr>
              <w:t xml:space="preserve">；</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2.不接受进口产品。</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评标办法</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具体评标办法详见招标文件</w:t>
            </w:r>
            <w:r>
              <w:rPr>
                <w:rFonts w:hint="eastAsia" w:ascii="Times New Roman" w:hAnsi="Times New Roman" w:cs="仿宋"/>
                <w:sz w:val="24"/>
                <w:szCs w:val="24"/>
              </w:rPr>
              <w:t xml:space="preserve">第三章。</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评标委员会依据招标文件规定的评标办法和标准推荐</w:t>
            </w:r>
            <w:r>
              <w:rPr>
                <w:rFonts w:hint="eastAsia" w:ascii="Times New Roman" w:hAnsi="Times New Roman" w:cs="仿宋"/>
                <w:color w:val="000000"/>
                <w:sz w:val="24"/>
                <w:szCs w:val="24"/>
                <w:u w:val="single"/>
              </w:rPr>
              <w:t xml:space="preserve">3</w:t>
            </w:r>
            <w:r>
              <w:rPr>
                <w:rFonts w:hint="eastAsia" w:ascii="Times New Roman" w:hAnsi="Times New Roman" w:cs="仿宋"/>
                <w:color w:val="000000"/>
                <w:sz w:val="24"/>
                <w:szCs w:val="24"/>
              </w:rPr>
              <w:t xml:space="preserve">名中标候选人。</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种方式确定中标人：</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1.采购人按规定在评标委员会推荐的中标候选人中确定中标人；</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2.采购人授权评标委员会直接确定中标人。</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8</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分包要求</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68" w:name="EBebac1462c5d9459fbda8a75065c2455d"/>
            <w:r>
              <w:rPr>
                <w:rFonts w:hint="eastAsia" w:ascii="Times New Roman" w:hAnsi="Times New Roman" w:cs="仿宋"/>
                <w:color w:val="000000"/>
                <w:sz w:val="24"/>
                <w:szCs w:val="24"/>
              </w:rPr>
              <w:t xml:space="preserve">本项目的非主体、非关键性工作是否允许分包</w:t>
            </w:r>
            <w:bookmarkEnd w:id="68"/>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 2 </w:t>
            </w:r>
            <w:r>
              <w:rPr>
                <w:rFonts w:hint="eastAsia" w:ascii="Times New Roman" w:hAnsi="Times New Roman" w:cs="仿宋"/>
                <w:color w:val="000000"/>
                <w:sz w:val="24"/>
                <w:szCs w:val="24"/>
              </w:rPr>
              <w:t xml:space="preserve">种方式确定：</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1.允许分包，</w:t>
            </w:r>
            <w:bookmarkStart w:id="69" w:name="EB512ba06683724173802e2aae54a26079"/>
            <w:r>
              <w:rPr>
                <w:rFonts w:hint="eastAsia" w:ascii="Times New Roman" w:hAnsi="Times New Roman" w:cs="仿宋"/>
                <w:color w:val="000000"/>
                <w:sz w:val="24"/>
                <w:szCs w:val="24"/>
              </w:rPr>
              <w:t xml:space="preserve">允许大中型企业向一家或者多家小微企业分包，分包具体内容、金额或比例：</w:t>
            </w:r>
            <w:bookmarkEnd w:id="69"/>
            <w:r>
              <w:rPr>
                <w:rFonts w:hint="eastAsia" w:ascii="Times New Roman" w:hAnsi="Times New Roman" w:cs="仿宋"/>
                <w:color w:val="000000"/>
                <w:sz w:val="24"/>
                <w:szCs w:val="24"/>
              </w:rPr>
              <w:t xml:space="preserve">无</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2.不允许分包。</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9</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代理费用收取方式及标准</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70" w:name="EBfe735bb6fc4d4e5e9e350f940db98c5f"/>
            <w:r/>
            <w:bookmarkEnd w:id="70"/>
            <w:r>
              <w:rPr>
                <w:rFonts w:hint="eastAsia" w:ascii="Times New Roman" w:hAnsi="Times New Roman" w:cs="仿宋"/>
                <w:sz w:val="24"/>
                <w:szCs w:val="24"/>
              </w:rPr>
              <w:t xml:space="preserve">根据《政府采购代理机构管理暂行办法》财库〔2018〕2号第十五条规定，本项目代理服务费由成交投标人支付，收费标准：按照《江苏省招标代理服务收费指导意见》苏招协</w:t>
            </w:r>
            <w:r>
              <w:rPr>
                <w:rFonts w:hint="eastAsia" w:ascii="Times New Roman" w:hAnsi="Times New Roman" w:cs="仿宋"/>
                <w:sz w:val="24"/>
                <w:szCs w:val="24"/>
                <w:lang w:eastAsia="zh-CN"/>
              </w:rPr>
              <w:t xml:space="preserve">〔2022〕2号</w:t>
            </w:r>
            <w:r>
              <w:rPr>
                <w:rFonts w:hint="eastAsia" w:ascii="Times New Roman" w:hAnsi="Times New Roman" w:cs="仿宋"/>
                <w:sz w:val="24"/>
                <w:szCs w:val="24"/>
              </w:rPr>
              <w:t xml:space="preserve">文件收费标准收取。</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支付方式可以通过转账或数字人民币等方式。</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10</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其他</w:t>
            </w:r>
            <w:bookmarkEnd w:id="61"/>
            <w:r/>
            <w:bookmarkEnd w:id="62"/>
            <w:r/>
            <w:bookmarkEnd w:id="63"/>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sz w:val="24"/>
                <w:szCs w:val="24"/>
              </w:rPr>
              <w:t xml:space="preserve">本项目落实《关于推动解决政府采购异常低价问题相关工作的通知》（苏财购</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2025</w:t>
            </w:r>
            <w:r>
              <w:rPr>
                <w:rFonts w:hint="eastAsia" w:ascii="微软雅黑" w:hAnsi="微软雅黑" w:eastAsia="微软雅黑" w:cs="微软雅黑"/>
                <w:sz w:val="24"/>
                <w:szCs w:val="24"/>
              </w:rPr>
              <w:t xml:space="preserve">〕</w:t>
            </w:r>
            <w:r>
              <w:rPr>
                <w:rFonts w:hint="eastAsia" w:ascii="Times New Roman" w:hAnsi="Times New Roman" w:cs="仿宋"/>
                <w:sz w:val="24"/>
                <w:szCs w:val="24"/>
              </w:rPr>
              <w:t xml:space="preserve">62号）文件规定。</w:t>
            </w:r>
            <w:r/>
          </w:p>
        </w:tc>
      </w:tr>
    </w:tbl>
    <w:p>
      <w:pPr>
        <w:rPr>
          <w:color w:val="000000"/>
          <w:sz w:val="20"/>
        </w:rPr>
      </w:pPr>
      <w:r>
        <w:rPr>
          <w:color w:val="000000"/>
          <w:sz w:val="20"/>
        </w:rPr>
      </w:r>
      <w:r/>
    </w:p>
    <w:p>
      <w:pPr>
        <w:pStyle w:val="905"/>
        <w:ind w:firstLine="321"/>
        <w:spacing w:before="0" w:after="0" w:line="480" w:lineRule="exact"/>
        <w:rPr>
          <w:rFonts w:eastAsia="宋体" w:cs="Arial"/>
          <w:bCs/>
          <w:color w:val="000000"/>
          <w:szCs w:val="22"/>
        </w:rPr>
      </w:pPr>
      <w:r/>
      <w:bookmarkStart w:id="71" w:name="EB6eaaf474639940df900ef4965d71f450"/>
      <w:r/>
      <w:bookmarkEnd w:id="71"/>
      <w:r/>
      <w:bookmarkStart w:id="72" w:name="_Toc81575192"/>
      <w:r/>
      <w:bookmarkStart w:id="73" w:name="_Toc30953"/>
      <w:r/>
      <w:bookmarkStart w:id="74" w:name="_Toc8239"/>
      <w:r/>
      <w:bookmarkStart w:id="75" w:name="_Toc81575155"/>
      <w:r>
        <w:rPr>
          <w:rFonts w:hint="eastAsia" w:eastAsia="宋体" w:cs="Arial"/>
          <w:bCs/>
          <w:color w:val="000000"/>
          <w:szCs w:val="22"/>
        </w:rPr>
        <w:t xml:space="preserve">一、总 则</w:t>
      </w:r>
      <w:bookmarkEnd w:id="72"/>
      <w:r/>
      <w:bookmarkEnd w:id="73"/>
      <w:r/>
      <w:bookmarkEnd w:id="74"/>
      <w:r/>
      <w:bookmarkEnd w:id="7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1.招标方式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本次采购采取公开招标方式。</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2.合格的投标人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4.投标费用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投标人应自行承担所有参加投标有关的费用。</w:t>
      </w:r>
      <w:r/>
    </w:p>
    <w:p>
      <w:pPr>
        <w:pStyle w:val="905"/>
        <w:ind w:firstLine="321"/>
        <w:spacing w:before="0" w:after="0" w:line="480" w:lineRule="exact"/>
        <w:rPr>
          <w:rFonts w:eastAsia="宋体" w:cs="Arial"/>
          <w:bCs/>
          <w:color w:val="000000"/>
          <w:szCs w:val="22"/>
        </w:rPr>
      </w:pPr>
      <w:r/>
      <w:bookmarkStart w:id="76" w:name="_Toc29306"/>
      <w:r/>
      <w:bookmarkStart w:id="77" w:name="_Toc15995"/>
      <w:r/>
      <w:bookmarkStart w:id="78" w:name="_Toc81575193"/>
      <w:r/>
      <w:bookmarkStart w:id="79" w:name="_Toc81575156"/>
      <w:r>
        <w:rPr>
          <w:rFonts w:hint="eastAsia" w:eastAsia="宋体" w:cs="Arial"/>
          <w:bCs/>
          <w:color w:val="000000"/>
          <w:szCs w:val="22"/>
        </w:rPr>
        <w:t xml:space="preserve">二、招标文件</w:t>
      </w:r>
      <w:bookmarkEnd w:id="76"/>
      <w:r/>
      <w:bookmarkEnd w:id="77"/>
      <w:r/>
      <w:bookmarkEnd w:id="78"/>
      <w:r/>
      <w:bookmarkEnd w:id="7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5.招标文件构成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5.1招标文件由以下部分组成：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第一章：投标邀请；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第二章：投标人须知；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第三章：资格审查及评标办法；</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第六章：投标文件格式。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请仔细检查招标文件是否齐全，如有缺漏请立即与代理机构联系解决。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6.政府采购政策功能落实</w:t>
      </w:r>
      <w:r/>
    </w:p>
    <w:p>
      <w:pPr>
        <w:ind w:firstLine="482"/>
        <w:spacing w:line="480" w:lineRule="exact"/>
        <w:rPr>
          <w:rFonts w:ascii="Times New Roman" w:hAnsi="Times New Roman" w:cs="仿宋"/>
          <w:b/>
          <w:bCs/>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u w:val="single"/>
        </w:rPr>
        <w:t xml:space="preserve">6.1、6.2、6.3、6.4</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本项目按第</w:t>
      </w:r>
      <w:r>
        <w:rPr>
          <w:rFonts w:hint="eastAsia" w:ascii="Times New Roman" w:hAnsi="Times New Roman" w:cs="仿宋"/>
          <w:color w:val="000000"/>
          <w:sz w:val="24"/>
          <w:u w:val="single"/>
        </w:rPr>
        <w:t xml:space="preserve">（2）</w:t>
      </w:r>
      <w:r>
        <w:rPr>
          <w:rFonts w:hint="eastAsia" w:ascii="Times New Roman" w:hAnsi="Times New Roman" w:cs="仿宋"/>
          <w:color w:val="000000"/>
          <w:sz w:val="24"/>
        </w:rPr>
        <w:t xml:space="preserve">种政策落实：</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（2）对符合规定情形的小微企业报价给予</w:t>
      </w:r>
      <w:r>
        <w:rPr>
          <w:rFonts w:hint="eastAsia" w:ascii="Times New Roman" w:hAnsi="Times New Roman" w:cs="仿宋"/>
          <w:color w:val="000000"/>
          <w:sz w:val="24"/>
          <w:u w:val="single"/>
        </w:rPr>
        <w:t xml:space="preserve">15%</w:t>
      </w:r>
      <w:r>
        <w:rPr>
          <w:rFonts w:hint="eastAsia" w:ascii="Times New Roman" w:hAnsi="Times New Roman" w:cs="仿宋"/>
          <w:color w:val="000000"/>
          <w:sz w:val="24"/>
        </w:rPr>
        <w:t xml:space="preserve">扣除，用扣除后的价格参加评审。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000000"/>
          <w:sz w:val="24"/>
        </w:rPr>
      </w:pPr>
      <w:r>
        <w:rPr>
          <w:rFonts w:hint="eastAsia" w:ascii="Times New Roman" w:hAnsi="Times New Roman" w:cs="仿宋_GB2312"/>
          <w:color w:val="000000"/>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u w:val="single"/>
        </w:rPr>
        <w:t xml:space="preserve">5</w:t>
      </w:r>
      <w:r>
        <w:rPr>
          <w:rFonts w:hint="eastAsia" w:ascii="Times New Roman" w:hAnsi="Times New Roman" w:cs="仿宋"/>
          <w:color w:val="000000"/>
          <w:sz w:val="24"/>
        </w:rPr>
        <w:t xml:space="preserve">%（工程项目为</w:t>
      </w:r>
      <w:r>
        <w:rPr>
          <w:rFonts w:hint="eastAsia" w:ascii="Times New Roman" w:hAnsi="Times New Roman" w:cs="仿宋"/>
          <w:color w:val="000000"/>
          <w:sz w:val="24"/>
          <w:u w:val="single"/>
        </w:rPr>
        <w:t xml:space="preserve">2</w:t>
      </w:r>
      <w:r>
        <w:rPr>
          <w:rFonts w:hint="eastAsia" w:ascii="Times New Roman" w:hAnsi="Times New Roman" w:cs="仿宋"/>
          <w:color w:val="000000"/>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按照财政部、生态环境部、工业和信息化部关于印发《绿色数据中心政府采购需求标准（试行）》的通知）要求执行，本项目绿色数据中心的具体需求详见第四章采购需求。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7.招标文件的澄清或修改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7.3投标人应及时登录“苏采云”系统获取澄清答疑文件（修改后的招标文件），如投标人未能及时下载澄清答疑文件，造成的相关责任由投标人承担。</w:t>
      </w:r>
      <w:r/>
    </w:p>
    <w:p>
      <w:pPr>
        <w:pStyle w:val="905"/>
        <w:ind w:firstLine="321"/>
        <w:spacing w:before="0" w:after="0" w:line="480" w:lineRule="exact"/>
        <w:rPr>
          <w:rFonts w:eastAsia="宋体" w:cs="Arial"/>
          <w:bCs/>
          <w:color w:val="000000"/>
          <w:szCs w:val="22"/>
        </w:rPr>
      </w:pPr>
      <w:r/>
      <w:bookmarkStart w:id="80" w:name="_Toc81575194"/>
      <w:r/>
      <w:bookmarkStart w:id="81" w:name="_Toc5574"/>
      <w:r/>
      <w:bookmarkStart w:id="82" w:name="_Toc81575157"/>
      <w:r/>
      <w:bookmarkStart w:id="83" w:name="_Toc11461"/>
      <w:r>
        <w:rPr>
          <w:rFonts w:hint="eastAsia" w:eastAsia="宋体" w:cs="Arial"/>
          <w:bCs/>
          <w:color w:val="000000"/>
          <w:szCs w:val="22"/>
        </w:rPr>
        <w:t xml:space="preserve">三、投标文件的编制</w:t>
      </w:r>
      <w:bookmarkEnd w:id="80"/>
      <w:r/>
      <w:bookmarkEnd w:id="81"/>
      <w:r/>
      <w:bookmarkEnd w:id="82"/>
      <w:r/>
      <w:bookmarkEnd w:id="8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8.投标文件的编制要求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9.投标文件构成</w:t>
      </w:r>
      <w:r/>
    </w:p>
    <w:p>
      <w:pPr>
        <w:ind w:firstLine="480"/>
        <w:spacing w:line="480" w:lineRule="exact"/>
        <w:rPr>
          <w:rFonts w:ascii="Times New Roman" w:hAnsi="Times New Roman" w:cs="仿宋"/>
          <w:bCs/>
          <w:color w:val="000000"/>
          <w:sz w:val="24"/>
        </w:rPr>
      </w:pPr>
      <w:r>
        <w:rPr>
          <w:rFonts w:hint="eastAsia" w:ascii="Times New Roman" w:hAnsi="Times New Roman" w:cs="仿宋"/>
          <w:color w:val="000000"/>
          <w:sz w:val="24"/>
        </w:rPr>
        <w:t xml:space="preserve">9.1投标文件包括资格证明文件、开标一览表、分项报价表、响应及偏离表、投标函、其他证明文件等部分。</w:t>
      </w:r>
      <w:r>
        <w:rPr>
          <w:rFonts w:hint="eastAsia" w:ascii="Times New Roman" w:hAnsi="Times New Roman" w:cs="仿宋"/>
          <w:bCs/>
          <w:color w:val="000000"/>
          <w:sz w:val="24"/>
        </w:rPr>
        <w:t xml:space="preserve">投标文件构成资料为非中文时应提供中文译版。</w:t>
      </w:r>
      <w:bookmarkStart w:id="84" w:name="EBc50e2bb832bb43068403b10c1cce6141"/>
      <w:r/>
      <w:r/>
    </w:p>
    <w:p>
      <w:pPr>
        <w:ind w:firstLine="482"/>
        <w:spacing w:line="480" w:lineRule="exact"/>
        <w:rPr>
          <w:rFonts w:ascii="Times New Roman" w:hAnsi="Times New Roman" w:cs="仿宋"/>
          <w:bCs/>
          <w:color w:val="000000"/>
          <w:sz w:val="24"/>
        </w:rPr>
      </w:pPr>
      <w:r>
        <w:rPr>
          <w:rFonts w:hint="eastAsia" w:ascii="Times New Roman" w:hAnsi="Times New Roman" w:cs="仿宋"/>
          <w:b/>
          <w:color w:val="000000"/>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10.投标报价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11.投标保证金</w:t>
      </w:r>
      <w:bookmarkStart w:id="85" w:name="EB183a0bf075204c54a4ff090f1aecaaa7"/>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本项目不收取投标保证金。</w:t>
      </w:r>
      <w:bookmarkEnd w:id="8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12.投标有效期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905"/>
        <w:ind w:firstLine="321"/>
        <w:spacing w:before="0" w:after="0" w:line="480" w:lineRule="exact"/>
        <w:rPr>
          <w:rFonts w:eastAsia="宋体" w:cs="Arial"/>
          <w:bCs/>
          <w:color w:val="000000"/>
          <w:szCs w:val="22"/>
        </w:rPr>
      </w:pPr>
      <w:r/>
      <w:bookmarkStart w:id="86" w:name="_Toc81575158"/>
      <w:r/>
      <w:bookmarkStart w:id="87" w:name="_Toc23443"/>
      <w:r/>
      <w:bookmarkStart w:id="88" w:name="_Toc81575195"/>
      <w:r/>
      <w:bookmarkStart w:id="89" w:name="_Toc2773"/>
      <w:r>
        <w:rPr>
          <w:rFonts w:hint="eastAsia" w:eastAsia="宋体" w:cs="Arial"/>
          <w:bCs/>
          <w:color w:val="000000"/>
          <w:szCs w:val="22"/>
        </w:rPr>
        <w:t xml:space="preserve">四、投标文件的提交</w:t>
      </w:r>
      <w:bookmarkEnd w:id="86"/>
      <w:r/>
      <w:bookmarkEnd w:id="87"/>
      <w:r/>
      <w:bookmarkEnd w:id="88"/>
      <w:r/>
      <w:bookmarkEnd w:id="8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13.投标文件的提交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13.2投标文件的修改和撤回：在投标截止时</w:t>
      </w:r>
      <w:r>
        <w:rPr>
          <w:rFonts w:hint="eastAsia" w:ascii="Times New Roman" w:hAnsi="Times New Roman" w:cs="仿宋"/>
          <w:color w:val="000000"/>
          <w:sz w:val="24"/>
          <w:lang w:eastAsia="zh-CN"/>
        </w:rPr>
        <w:t xml:space="preserve">间之</w:t>
      </w:r>
      <w:r>
        <w:rPr>
          <w:rFonts w:hint="eastAsia" w:ascii="Times New Roman" w:hAnsi="Times New Roman" w:cs="仿宋"/>
          <w:color w:val="000000"/>
          <w:sz w:val="24"/>
        </w:rPr>
        <w:t xml:space="preserve">前，投标人可以撤回或重新提交投标文件。投标文件以最终完成上传的为准。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14.投标文件被拒绝接收的情形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在招标文件规定的投标截止时间后上传的投标文件或对投标报价或其他实质性内容修正的文件。</w:t>
      </w:r>
      <w:r/>
    </w:p>
    <w:p>
      <w:pPr>
        <w:pStyle w:val="905"/>
        <w:ind w:firstLine="321"/>
        <w:spacing w:before="0" w:after="0" w:line="520" w:lineRule="exact"/>
        <w:rPr>
          <w:rFonts w:eastAsia="宋体" w:cs="Arial"/>
          <w:bCs/>
          <w:color w:val="000000"/>
          <w:szCs w:val="22"/>
        </w:rPr>
      </w:pPr>
      <w:r/>
      <w:bookmarkStart w:id="90" w:name="_Toc959"/>
      <w:r/>
      <w:bookmarkStart w:id="91" w:name="_Toc20026"/>
      <w:r/>
      <w:bookmarkStart w:id="92" w:name="_Toc81575197"/>
      <w:r/>
      <w:bookmarkStart w:id="93" w:name="_Toc81575160"/>
      <w:r>
        <w:rPr>
          <w:rFonts w:hint="eastAsia" w:eastAsia="宋体" w:cs="Arial"/>
          <w:bCs/>
          <w:color w:val="000000"/>
          <w:szCs w:val="22"/>
        </w:rPr>
        <w:t xml:space="preserve">五、开标、评标程序</w:t>
      </w:r>
      <w:bookmarkEnd w:id="90"/>
      <w:r/>
      <w:bookmarkEnd w:id="91"/>
      <w:r/>
      <w:bookmarkEnd w:id="92"/>
      <w:r/>
      <w:bookmarkEnd w:id="9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15.开标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15.5投标人在开、评标全过程中应保持通信畅通，及时登录“苏采云”系统查阅、答复相关信息。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16.评标委员会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17.评标程序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17.1资格审查</w:t>
      </w:r>
      <w:bookmarkStart w:id="94" w:name="EBa9c0a2c9e523494487594c65b2a9237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开标结束后，采购人依法根据招标文件的规定对投标人的资格证明文件等进行审查。</w:t>
      </w:r>
      <w:bookmarkEnd w:id="94"/>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17.2符合性检查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hint="eastAsia" w:ascii="Times New Roman" w:hAnsi="Times New Roman" w:cs="仿宋"/>
          <w:color w:val="000000"/>
          <w:sz w:val="24"/>
        </w:rPr>
        <w:t xml:space="preserve">所谓重大偏离是指投标人投标文件中所述设备质量、技术规格、数量、交货期、服务等明显不能满足招标文件要求。</w:t>
      </w:r>
      <w:bookmarkEnd w:id="95"/>
      <w:r>
        <w:rPr>
          <w:rFonts w:hint="eastAsia" w:ascii="Times New Roman" w:hAnsi="Times New Roman" w:cs="仿宋"/>
          <w:color w:val="000000"/>
          <w:sz w:val="24"/>
        </w:rPr>
        <w:t xml:space="preserve">重大偏离的认定需经过评标委员会以少数服从多数的原则作出结论。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17.5相同品牌产品投标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17.6有关问题的澄清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17.6.2投标文件报价出现前后不一致的，除招标文件另有规定外，按照下列规定修正：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②大写金额和小写金额不一致的，以大写金额为准；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④总价金额与按单价汇总金额不一致的，以单价金额计算结果为准。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同时出现两种以上不一致的，按照前款规定的顺序修正。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评标过程中，不得去掉报价中的最高报价和最低报价。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17.7比较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2"/>
        <w:spacing w:line="480" w:lineRule="exact"/>
        <w:rPr>
          <w:rFonts w:ascii="Times New Roman" w:hAnsi="Times New Roman" w:cs="仿宋"/>
          <w:sz w:val="24"/>
        </w:rPr>
      </w:pPr>
      <w:r>
        <w:rPr>
          <w:rFonts w:hint="eastAsia" w:ascii="Times New Roman" w:hAnsi="Times New Roman" w:cs="仿宋"/>
          <w:color w:val="000000"/>
          <w:sz w:val="24"/>
        </w:rPr>
        <w:t xml:space="preserve">17.8</w:t>
      </w:r>
      <w:r>
        <w:rPr>
          <w:rFonts w:hint="eastAsia" w:ascii="Times New Roman" w:hAnsi="Times New Roman" w:cs="仿宋"/>
          <w:sz w:val="24"/>
        </w:rPr>
        <w:t xml:space="preserve">评审过程中出现下列情形之一的，评审委员会应当启动异常低价投标（响应）审查程序：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①投标（响应）报价低于采购项目预算50%的，即投标（响应）报价〈采购项目预算x50%；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②投标（响应）报价低于采购项目最高限价45%的，即投标（响应）报价〈采购项目最高限价x45%；</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③评审委员会认定的供应商报价过低、有可能影响产品质量或者不能诚信履约的其他情形。</w:t>
      </w:r>
      <w:r/>
    </w:p>
    <w:p>
      <w:pPr>
        <w:ind w:firstLine="480"/>
        <w:spacing w:line="480" w:lineRule="exact"/>
        <w:rPr>
          <w:rFonts w:ascii="Times New Roman" w:hAnsi="Times New Roman" w:cs="仿宋"/>
          <w:color w:val="000000"/>
          <w:sz w:val="24"/>
        </w:rPr>
      </w:pPr>
      <w:r>
        <w:rPr>
          <w:rFonts w:hint="eastAsia" w:ascii="Times New Roman" w:hAnsi="Times New Roman" w:cs="仿宋"/>
          <w:sz w:val="24"/>
        </w:rPr>
        <w:t xml:space="preserve">启动异常低价投标（响应）审查后，评审委员会将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17.9推荐中标候选人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905"/>
        <w:ind w:firstLine="321"/>
        <w:spacing w:before="0" w:after="0" w:line="480" w:lineRule="exact"/>
        <w:rPr>
          <w:rFonts w:eastAsia="宋体" w:cs="Arial"/>
          <w:bCs/>
          <w:color w:val="000000"/>
          <w:szCs w:val="22"/>
        </w:rPr>
      </w:pPr>
      <w:r/>
      <w:bookmarkStart w:id="96" w:name="_Toc8841"/>
      <w:r/>
      <w:bookmarkStart w:id="97" w:name="_Toc81575196"/>
      <w:r/>
      <w:bookmarkStart w:id="98" w:name="_Toc81575159"/>
      <w:r/>
      <w:bookmarkStart w:id="99" w:name="_Toc8712"/>
      <w:r>
        <w:rPr>
          <w:rFonts w:hint="eastAsia" w:eastAsia="宋体" w:cs="Arial"/>
          <w:bCs/>
          <w:color w:val="000000"/>
          <w:szCs w:val="22"/>
        </w:rPr>
        <w:t xml:space="preserve">六、无效投标、废标、串通投标</w:t>
      </w:r>
      <w:bookmarkEnd w:id="96"/>
      <w:r/>
      <w:bookmarkEnd w:id="97"/>
      <w:r/>
      <w:bookmarkEnd w:id="98"/>
      <w:r/>
      <w:bookmarkEnd w:id="99"/>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18.9投标文件含有采购人不能接受的附加条件的。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18.10其他法律法规及本招标文件规定的属于无效投标的情形。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19.废标情形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19.1符合专业条件的投标人或者对招标文件作实质响应的投标人不足三家的。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19.4评标委员会认定招标文件存在歧义、重大缺陷导致评审工作无法进行的。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19.5在“苏采云”系统规定时间内成功解密电子投标文件的投标人不足3家的。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20.投标人不足三家情形处理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21.串通投标情形</w:t>
      </w:r>
      <w:r/>
    </w:p>
    <w:p>
      <w:pPr>
        <w:ind w:firstLine="480"/>
        <w:spacing w:line="500" w:lineRule="exact"/>
        <w:rPr>
          <w:rFonts w:hint="eastAsia" w:ascii="黑体" w:hAnsi="黑体" w:eastAsia="黑体"/>
          <w:color w:val="000000"/>
          <w:sz w:val="24"/>
        </w:rPr>
      </w:pPr>
      <w:r>
        <w:rPr>
          <w:rFonts w:hint="eastAsia" w:ascii="黑体" w:hAnsi="黑体" w:eastAsia="黑体"/>
          <w:color w:val="000000"/>
          <w:sz w:val="24"/>
        </w:rPr>
        <w:t xml:space="preserve">有下列情形之一的，属于恶意串通投标：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21.3供应商接受采购人或采购代理机构授意撤换、修改投标文件；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21.4供应商之间协商投标报价、技术方案等投标文件实质性内容；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21.5属于同一集团、协会、商会等组织成员的供应商按照该组织要求协同投标；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21.6供应商之间事先约定由某一特定供应商中标、成交；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21.7供应商之间商定部分供应商放弃投标或者放弃中标、成交；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黑体" w:hAnsi="黑体" w:eastAsia="黑体"/>
          <w:color w:val="000000"/>
          <w:sz w:val="24"/>
        </w:rPr>
      </w:pPr>
      <w:r>
        <w:rPr>
          <w:rFonts w:hint="eastAsia" w:ascii="黑体" w:hAnsi="黑体" w:eastAsia="黑体"/>
          <w:color w:val="000000"/>
          <w:sz w:val="24"/>
        </w:rPr>
        <w:t xml:space="preserve">有下列情形之一的，视为投标人串通投标，其投标无效：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21.9不同投标人的投标文件由同一单位或者个人编制；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21.10不同投标人委托同一单位或者个人办理投标事宜；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21.11不同投标人的投标文件载明的项目管理成员或者联系人员为同一人；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21.12不同投标人的投标文件异常一致或者投标报价呈规律性差异；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21.13不同投标人的投标文件相互混装；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21.14不同投标人的投标保证金从同一单位或者个人的账户转出。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w:t>
      </w:r>
      <w:bookmarkStart w:id="100" w:name="OLE_LINK4"/>
      <w:r>
        <w:rPr>
          <w:rFonts w:hint="eastAsia" w:ascii="Times New Roman" w:hAnsi="Times New Roman" w:cs="仿宋"/>
          <w:b/>
          <w:color w:val="000000"/>
          <w:sz w:val="24"/>
        </w:rPr>
        <w:t xml:space="preserve">取消中标候选人资格情形</w:t>
      </w:r>
      <w:bookmarkEnd w:id="10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22.1提供虚假材料谋取中标的；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22.2采取不正当手段诋毁、排挤其他投标人的；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22.3与采购人、其他投标人或者采购代理机构恶意串通的；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22.4向采购人、采购代理机构行贿或者提供其他不正当利益的；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22.5未在规定时间内与采购人签订采购合同的；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22.6法律法规规定的其他情况。</w:t>
      </w:r>
      <w:bookmarkStart w:id="101" w:name="_Toc81575161"/>
      <w:r/>
      <w:bookmarkStart w:id="102" w:name="_Toc6494"/>
      <w:r/>
      <w:bookmarkStart w:id="103" w:name="_Toc2391"/>
      <w:r/>
      <w:bookmarkStart w:id="104" w:name="_Toc81575198"/>
      <w:r/>
      <w:r/>
    </w:p>
    <w:p>
      <w:pPr>
        <w:ind w:firstLine="321"/>
        <w:spacing w:line="480" w:lineRule="exact"/>
        <w:rPr>
          <w:rFonts w:ascii="Arial" w:hAnsi="Arial" w:cs="Arial"/>
          <w:b/>
          <w:bCs/>
          <w:color w:val="000000"/>
          <w:sz w:val="32"/>
        </w:rPr>
        <w:outlineLvl w:val="1"/>
      </w:pPr>
      <w:r>
        <w:rPr>
          <w:rFonts w:hint="eastAsia" w:ascii="Arial" w:hAnsi="Arial" w:cs="Arial"/>
          <w:b/>
          <w:bCs/>
          <w:color w:val="000000"/>
          <w:sz w:val="32"/>
        </w:rPr>
        <w:t xml:space="preserve">七、中标及合同签订</w:t>
      </w:r>
      <w:bookmarkEnd w:id="101"/>
      <w:r/>
      <w:bookmarkEnd w:id="102"/>
      <w:r/>
      <w:bookmarkEnd w:id="103"/>
      <w:r/>
      <w:bookmarkEnd w:id="104"/>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23.确定中标人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23.3采购人确定正被列为失信被执行人的投标人为中标人的，中标结果无效。</w:t>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24.中标通知书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24.3采用综合评分法评审的，未中标人可于中标结果公告期限届满之日起通过“苏采云”系统查看</w:t>
      </w:r>
      <w:bookmarkStart w:id="105" w:name="OLE_LINK5"/>
      <w:r>
        <w:rPr>
          <w:rFonts w:hint="eastAsia" w:ascii="Times New Roman" w:hAnsi="Times New Roman" w:cs="仿宋"/>
          <w:color w:val="000000"/>
          <w:sz w:val="24"/>
        </w:rPr>
        <w:t xml:space="preserve">自己的评审得分及排序情况。</w:t>
      </w:r>
      <w:bookmarkEnd w:id="105"/>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25.授予合同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25.2采购人在自合同签订之日起2个工作日内，将合同在指定的媒体上公告。</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26.履约保证金</w:t>
      </w:r>
      <w:r/>
    </w:p>
    <w:p>
      <w:pPr>
        <w:ind w:firstLine="480"/>
        <w:spacing w:line="480" w:lineRule="exact"/>
        <w:rPr>
          <w:rFonts w:ascii="Times New Roman" w:hAnsi="Times New Roman" w:cs="仿宋"/>
          <w:color w:val="000000"/>
          <w:sz w:val="24"/>
          <w:lang w:val="zh-CN"/>
        </w:rPr>
      </w:pPr>
      <w:r>
        <w:rPr>
          <w:rFonts w:hint="eastAsia" w:ascii="Times New Roman" w:hAnsi="Times New Roman" w:cs="仿宋"/>
          <w:color w:val="000000"/>
          <w:sz w:val="24"/>
          <w:lang w:val="zh-CN"/>
        </w:rPr>
        <w:t xml:space="preserve">按照以下第</w:t>
      </w:r>
      <w:r>
        <w:rPr>
          <w:rFonts w:hint="eastAsia" w:ascii="Times New Roman" w:hAnsi="Times New Roman" w:cs="仿宋"/>
          <w:sz w:val="24"/>
          <w:u w:val="single"/>
        </w:rPr>
        <w:t xml:space="preserve">（2）</w:t>
      </w:r>
      <w:r>
        <w:rPr>
          <w:rFonts w:hint="eastAsia" w:ascii="Times New Roman" w:hAnsi="Times New Roman" w:cs="仿宋"/>
          <w:color w:val="000000"/>
          <w:sz w:val="24"/>
          <w:lang w:val="zh-CN"/>
        </w:rPr>
        <w:t xml:space="preserve">方式确定履约保证</w:t>
      </w:r>
      <w:r>
        <w:rPr>
          <w:rFonts w:hint="eastAsia" w:ascii="Times New Roman" w:hAnsi="Times New Roman" w:cs="仿宋"/>
          <w:color w:val="000000"/>
          <w:sz w:val="24"/>
        </w:rPr>
        <w:t xml:space="preserve">金</w:t>
      </w:r>
      <w:r>
        <w:rPr>
          <w:rFonts w:hint="eastAsia" w:ascii="Times New Roman" w:hAnsi="Times New Roman" w:cs="仿宋"/>
          <w:color w:val="000000"/>
          <w:sz w:val="24"/>
          <w:lang w:val="zh-CN"/>
        </w:rPr>
        <w:t xml:space="preserve">收取方式。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（2）本项目收取履约保证金。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26.2履约保证金提交金额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按采购合同总价的</w:t>
      </w:r>
      <w:r>
        <w:rPr>
          <w:rFonts w:hint="eastAsia" w:ascii="Times New Roman" w:hAnsi="Times New Roman" w:cs="仿宋"/>
          <w:color w:val="000000"/>
          <w:sz w:val="24"/>
          <w:u w:val="single"/>
        </w:rPr>
        <w:t xml:space="preserve">5</w:t>
      </w:r>
      <w:r>
        <w:rPr>
          <w:rFonts w:hint="eastAsia" w:ascii="Times New Roman" w:hAnsi="Times New Roman" w:cs="仿宋"/>
          <w:color w:val="000000"/>
          <w:sz w:val="24"/>
        </w:rPr>
        <w:t xml:space="preserve">%提交。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u w:val="single"/>
        </w:rPr>
        <w:t xml:space="preserve">3</w:t>
      </w:r>
      <w:r>
        <w:rPr>
          <w:rFonts w:hint="eastAsia" w:ascii="Times New Roman" w:hAnsi="Times New Roman" w:cs="仿宋"/>
          <w:color w:val="000000"/>
          <w:sz w:val="24"/>
        </w:rPr>
        <w:t xml:space="preserve">%（履约保证金原提交金额的6折）提交。办理流程、偿付等内容见江苏省政府采购网“保险保函”模块。</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26.3履约保证金退还方式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26.4履约保证金退还条件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具有验</w:t>
      </w:r>
      <w:r>
        <w:rPr>
          <w:rFonts w:hint="eastAsia" w:ascii="Times New Roman" w:hAnsi="Times New Roman" w:cs="仿宋"/>
          <w:color w:val="000000"/>
          <w:sz w:val="24"/>
          <w:highlight w:val="none"/>
        </w:rPr>
        <w:t xml:space="preserve">收（终验）合</w:t>
      </w:r>
      <w:r>
        <w:rPr>
          <w:rFonts w:hint="eastAsia" w:ascii="Times New Roman" w:hAnsi="Times New Roman" w:cs="仿宋"/>
          <w:color w:val="000000"/>
          <w:sz w:val="24"/>
        </w:rPr>
        <w:t xml:space="preserve">格相关证明材料。</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26.5履约保证金退还时间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采购人收到投标人退付申请后5个工作日内退还。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26.6履约保证金不予退还情形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26.7逾期退还履约保证金违约责任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rPr>
      </w:pPr>
      <w:r>
        <w:rPr>
          <w:rFonts w:hint="eastAsia" w:ascii="Times New Roman" w:hAnsi="Times New Roman" w:cs="仿宋"/>
          <w:b/>
          <w:color w:val="000000"/>
          <w:sz w:val="24"/>
        </w:rPr>
        <w:t xml:space="preserve">27.线上融资</w:t>
      </w:r>
      <w:r/>
    </w:p>
    <w:p>
      <w:pPr>
        <w:ind w:firstLine="480"/>
        <w:spacing w:line="480" w:lineRule="exact"/>
        <w:rPr>
          <w:rFonts w:ascii="Times New Roman" w:hAnsi="Times New Roman" w:cs="仿宋"/>
          <w:b/>
          <w:bCs/>
          <w:color w:val="000000"/>
          <w:sz w:val="24"/>
          <w:szCs w:val="24"/>
        </w:rPr>
      </w:pPr>
      <w:r>
        <w:rPr>
          <w:rFonts w:hint="eastAsia" w:ascii="宋体" w:hAnsi="宋体"/>
          <w:bCs/>
          <w:color w:val="000000"/>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000000"/>
          <w:sz w:val="24"/>
        </w:rPr>
      </w:pPr>
      <w:r>
        <w:rPr>
          <w:rFonts w:hint="eastAsia" w:ascii="Times New Roman" w:hAnsi="Times New Roman" w:cs="仿宋"/>
          <w:b/>
          <w:color w:val="000000"/>
          <w:sz w:val="24"/>
        </w:rPr>
        <w:t xml:space="preserve">28.合同履行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28.1政府采购合同订立后，合同各方不得擅自变更、中止或者终止合同。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905"/>
        <w:spacing w:before="0" w:after="0" w:line="520" w:lineRule="exact"/>
        <w:rPr>
          <w:rFonts w:eastAsia="宋体" w:cs="Arial"/>
          <w:bCs/>
          <w:color w:val="000000"/>
          <w:szCs w:val="22"/>
        </w:rPr>
      </w:pPr>
      <w:r/>
      <w:bookmarkStart w:id="106" w:name="_Toc22084"/>
      <w:r/>
      <w:bookmarkStart w:id="107" w:name="_Toc7550"/>
      <w:r/>
      <w:bookmarkStart w:id="108" w:name="_Toc81575162"/>
      <w:r/>
      <w:bookmarkStart w:id="109" w:name="_Toc81575199"/>
      <w:r>
        <w:rPr>
          <w:rFonts w:hint="eastAsia" w:eastAsia="宋体" w:cs="Arial"/>
          <w:bCs/>
          <w:color w:val="000000"/>
          <w:szCs w:val="22"/>
        </w:rPr>
        <w:t xml:space="preserve">八、</w:t>
      </w:r>
      <w:bookmarkEnd w:id="106"/>
      <w:r/>
      <w:bookmarkEnd w:id="107"/>
      <w:r/>
      <w:bookmarkEnd w:id="108"/>
      <w:r/>
      <w:bookmarkEnd w:id="109"/>
      <w:r/>
      <w:bookmarkStart w:id="110" w:name="_Toc81575163"/>
      <w:r/>
      <w:bookmarkStart w:id="111" w:name="_Toc81575200"/>
      <w:r/>
      <w:bookmarkStart w:id="112" w:name="_Toc12263"/>
      <w:r/>
      <w:bookmarkStart w:id="113" w:name="_Toc31888"/>
      <w:r>
        <w:rPr>
          <w:rFonts w:hint="eastAsia" w:eastAsia="宋体" w:cs="Arial"/>
          <w:bCs/>
          <w:color w:val="000000"/>
          <w:szCs w:val="22"/>
        </w:rPr>
        <w:t xml:space="preserve">质疑与投诉</w:t>
      </w:r>
      <w:bookmarkEnd w:id="110"/>
      <w:r/>
      <w:bookmarkEnd w:id="111"/>
      <w:r/>
      <w:bookmarkEnd w:id="112"/>
      <w:r/>
      <w:bookmarkEnd w:id="11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29.质疑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29.1供应商认为采购文件、采购过程和中标结果使自己的权益受到损害的，可以在知道或者应知其权益受到损害之日起七个工作日内，以书面形式根据下述29.6条款的规定向采购代理机构或招标人提出质疑。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29.2供应商应知其权益受到损害之日，是指：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（3）对本项目中标结果提出质疑的，为中标结果公告期限届满之日。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29.4供应商提出质疑应当提交质疑函和必要的证明材料。质疑函的必备内容：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rPr>
        <w:t xml:space="preserve">29.5采购人在收到质疑函后7个工作日内作出答复，并以书面形式通知质疑供应商和其他有关供应商，但质疑答复的内容不涉及商业秘密。</w:t>
      </w:r>
      <w:r/>
    </w:p>
    <w:p>
      <w:pPr>
        <w:ind w:firstLine="480"/>
        <w:spacing w:line="480" w:lineRule="exact"/>
        <w:rPr>
          <w:b/>
          <w:bCs/>
        </w:rPr>
      </w:pPr>
      <w:r>
        <w:rPr>
          <w:rFonts w:ascii="Times New Roman" w:hAnsi="Times New Roman" w:eastAsia="Times New Roman"/>
          <w:color w:val="000000"/>
          <w:sz w:val="24"/>
        </w:rPr>
        <w:t xml:space="preserve">29.6</w:t>
      </w:r>
      <w:r>
        <w:rPr>
          <w:rFonts w:ascii="宋体" w:hAnsi="宋体" w:cs="宋体"/>
          <w:color w:val="000000"/>
          <w:sz w:val="24"/>
        </w:rPr>
        <w:t xml:space="preserve">投标人应以书面形式向招标人或者其委托的采购代理机构提出质疑。质疑超出采购机构代理范围的，投标人应当向招标人提出。</w:t>
      </w:r>
      <w:r>
        <w:rPr>
          <w:rFonts w:ascii="宋体" w:hAnsi="宋体" w:cs="宋体"/>
          <w:b/>
          <w:bCs/>
          <w:color w:val="000000"/>
          <w:sz w:val="24"/>
        </w:rPr>
        <w:t xml:space="preserve">接收质疑函的方式：现场接收或邮寄接收。</w:t>
      </w:r>
      <w:r>
        <w:rPr>
          <w:rFonts w:hint="eastAsia" w:ascii="Times New Roman" w:hAnsi="Times New Roman" w:cs="仿宋"/>
          <w:sz w:val="24"/>
        </w:rPr>
        <w:t xml:space="preserve">质疑联系部门、联系电话、通讯地址详见采购公告。</w:t>
      </w:r>
      <w:r/>
    </w:p>
    <w:p>
      <w:pPr>
        <w:ind w:firstLine="480"/>
        <w:spacing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29.7</w:t>
      </w:r>
      <w:r>
        <w:rPr>
          <w:rFonts w:ascii="宋体" w:hAnsi="宋体" w:cs="宋体"/>
          <w:color w:val="000000"/>
          <w:sz w:val="24"/>
        </w:rPr>
        <w:t xml:space="preserve">以下情形的质疑不予受理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29.7.1 </w:t>
      </w:r>
      <w:r>
        <w:rPr>
          <w:rFonts w:ascii="宋体" w:hAnsi="宋体" w:cs="宋体"/>
          <w:color w:val="000000"/>
          <w:sz w:val="24"/>
        </w:rPr>
        <w:t xml:space="preserve">内容不符合《政府采购质疑和投诉办法》第十二条规定的质疑。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29.7.2 </w:t>
      </w:r>
      <w:r>
        <w:rPr>
          <w:rFonts w:ascii="宋体" w:hAnsi="宋体" w:cs="宋体"/>
          <w:color w:val="000000"/>
          <w:sz w:val="24"/>
        </w:rPr>
        <w:t xml:space="preserve">超出政府采购法定期限的质疑。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29.7.3 </w:t>
      </w:r>
      <w:r>
        <w:rPr>
          <w:rFonts w:ascii="宋体" w:hAnsi="宋体" w:cs="宋体"/>
          <w:color w:val="000000"/>
          <w:sz w:val="24"/>
        </w:rPr>
        <w:t xml:space="preserve">以传真、电子邮件等方式递交的非原件形式的质疑。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29.7.4 </w:t>
      </w:r>
      <w:r>
        <w:rPr>
          <w:rFonts w:ascii="宋体" w:hAnsi="宋体" w:cs="宋体"/>
          <w:color w:val="000000"/>
          <w:sz w:val="24"/>
        </w:rPr>
        <w:t xml:space="preserve">未参加投标活动的投标人或在投标活动中自身权益未受到损害的投标人所提出的质疑。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29.7.5</w:t>
      </w:r>
      <w:r>
        <w:rPr>
          <w:rFonts w:ascii="宋体" w:hAnsi="宋体" w:cs="宋体"/>
          <w:color w:val="000000"/>
          <w:sz w:val="24"/>
        </w:rPr>
        <w:t xml:space="preserve">投标人组成联合体参加投标，联合体中任何一方或多方未按要求签字、盖章、加盖公章的质疑。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29.8</w:t>
      </w:r>
      <w:r>
        <w:rPr>
          <w:rFonts w:ascii="宋体" w:hAnsi="宋体" w:cs="宋体"/>
          <w:color w:val="000000"/>
          <w:sz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30.投诉</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质疑供应商对答复不满意或采购人、采购代理机构未在规定时间内作出答复的，可在答复期满后15个工作日内向同级财政部门提起投诉。</w:t>
      </w:r>
      <w:r/>
    </w:p>
    <w:p>
      <w:pPr>
        <w:pStyle w:val="904"/>
        <w:jc w:val="center"/>
        <w:spacing w:before="200"/>
        <w:rPr>
          <w:color w:val="000000"/>
        </w:rPr>
      </w:pPr>
      <w:r/>
      <w:bookmarkStart w:id="114" w:name="EB4d341233595e4bf8ad7006b4bd78d974"/>
      <w:r/>
      <w:bookmarkEnd w:id="114"/>
      <w:r/>
      <w:bookmarkStart w:id="115" w:name="_Toc81575164"/>
      <w:r/>
      <w:bookmarkStart w:id="116" w:name="_Toc81575201"/>
      <w:r/>
      <w:bookmarkStart w:id="117" w:name="_Hlk166141273"/>
      <w:r>
        <w:rPr>
          <w:rFonts w:hint="eastAsia"/>
          <w:color w:val="000000"/>
        </w:rPr>
        <w:br w:type="page" w:clear="all"/>
      </w:r>
      <w:bookmarkStart w:id="118" w:name="_Toc21587"/>
      <w:r>
        <w:rPr>
          <w:rFonts w:hint="eastAsia" w:ascii="Calibri" w:hAnsi="Calibri" w:eastAsia="宋体" w:cs="Times New Roman"/>
          <w:b/>
          <w:color w:val="000000"/>
          <w:sz w:val="44"/>
          <w:szCs w:val="44"/>
        </w:rPr>
        <w:t xml:space="preserve">第三章  资格审查及评标</w:t>
      </w:r>
      <w:bookmarkEnd w:id="115"/>
      <w:r/>
      <w:bookmarkEnd w:id="116"/>
      <w:r>
        <w:rPr>
          <w:rFonts w:hint="eastAsia" w:ascii="Calibri" w:hAnsi="Calibri" w:eastAsia="宋体" w:cs="Times New Roman"/>
          <w:b/>
          <w:color w:val="000000"/>
          <w:sz w:val="44"/>
          <w:szCs w:val="44"/>
        </w:rPr>
        <w:t xml:space="preserve">方法</w:t>
      </w:r>
      <w:bookmarkEnd w:id="118"/>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p>
    <w:p>
      <w:pPr>
        <w:ind w:firstLine="480"/>
        <w:jc w:val="left"/>
        <w:spacing w:line="480" w:lineRule="exact"/>
        <w:rPr>
          <w:rFonts w:ascii="Times New Roman" w:hAnsi="Times New Roman" w:cs="仿宋"/>
          <w:color w:val="000000"/>
          <w:sz w:val="24"/>
        </w:rPr>
      </w:pPr>
      <w:r>
        <w:rPr>
          <w:rFonts w:hint="eastAsia"/>
          <w:color w:val="000000"/>
          <w:sz w:val="24"/>
          <w:szCs w:val="28"/>
        </w:rPr>
        <w:t xml:space="preserve">资格审查人员按照下列指标对各投标人的资格进行审查，未通过审查的为无效标，不参与评标。</w:t>
      </w:r>
      <w:r/>
    </w:p>
    <w:tbl>
      <w:tblPr>
        <w:tblStyle w:val="875"/>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rHeight w:val="90"/>
        </w:trPr>
        <w:tc>
          <w:tcPr>
            <w:tcBorders>
              <w:bottom w:val="single" w:color="000000" w:sz="12" w:space="0"/>
              <w:right w:val="single" w:color="000000" w:sz="12" w:space="0"/>
            </w:tcBorders>
            <w:tcW w:w="4422" w:type="dxa"/>
            <w:vAlign w:val="center"/>
            <w:textDirection w:val="lrTb"/>
            <w:noWrap w:val="false"/>
          </w:tcPr>
          <w:p>
            <w:pPr>
              <w:jc w:val="center"/>
              <w:spacing w:line="480" w:lineRule="exact"/>
              <w:rPr>
                <w:rFonts w:ascii="Times New Roman" w:hAnsi="Times New Roman" w:cs="仿宋"/>
                <w:b/>
                <w:bCs/>
                <w:sz w:val="24"/>
                <w:szCs w:val="24"/>
              </w:rPr>
            </w:pPr>
            <w:r>
              <w:rPr>
                <w:rFonts w:hint="eastAsia" w:ascii="Times New Roman" w:hAnsi="Times New Roman" w:cs="仿宋"/>
                <w:b/>
                <w:bCs/>
                <w:sz w:val="24"/>
                <w:szCs w:val="24"/>
              </w:rPr>
              <w:t xml:space="preserve">资格审查因素</w:t>
            </w:r>
            <w:r/>
          </w:p>
        </w:tc>
        <w:tc>
          <w:tcPr>
            <w:tcBorders>
              <w:left w:val="single" w:color="000000" w:sz="12" w:space="0"/>
              <w:bottom w:val="single" w:color="000000" w:sz="12" w:space="0"/>
            </w:tcBorders>
            <w:tcW w:w="4246" w:type="dxa"/>
            <w:vAlign w:val="center"/>
            <w:textDirection w:val="lrTb"/>
            <w:noWrap w:val="false"/>
          </w:tcPr>
          <w:p>
            <w:pPr>
              <w:jc w:val="center"/>
              <w:spacing w:line="480" w:lineRule="exact"/>
              <w:rPr>
                <w:rFonts w:ascii="Times New Roman" w:hAnsi="Times New Roman" w:cs="仿宋"/>
                <w:b/>
                <w:bCs/>
                <w:sz w:val="24"/>
                <w:szCs w:val="24"/>
              </w:rPr>
            </w:pPr>
            <w:r>
              <w:rPr>
                <w:rFonts w:hint="eastAsia" w:ascii="Times New Roman" w:hAnsi="Times New Roman" w:cs="仿宋"/>
                <w:b/>
                <w:bCs/>
                <w:sz w:val="24"/>
                <w:szCs w:val="24"/>
              </w:rPr>
              <w:t xml:space="preserve">审查标准</w:t>
            </w:r>
            <w:r/>
          </w:p>
        </w:tc>
      </w:tr>
      <w:tr>
        <w:trPr>
          <w:trHeight w:val="420"/>
        </w:trPr>
        <w:tc>
          <w:tcPr>
            <w:tcBorders>
              <w:top w:val="single" w:color="000000" w:sz="12" w:space="0"/>
              <w:bottom w:val="single" w:color="000000" w:sz="12" w:space="0"/>
              <w:right w:val="single" w:color="000000" w:sz="12" w:space="0"/>
            </w:tcBorders>
            <w:tcW w:w="4422" w:type="dxa"/>
            <w:vAlign w:val="center"/>
            <w:textDirection w:val="lrTb"/>
            <w:noWrap w:val="false"/>
          </w:tcPr>
          <w:p>
            <w:pPr>
              <w:jc w:val="center"/>
              <w:spacing w:line="480" w:lineRule="exact"/>
              <w:rPr>
                <w:rFonts w:cs="仿宋"/>
                <w:sz w:val="24"/>
                <w:szCs w:val="24"/>
              </w:rPr>
            </w:pPr>
            <w:r>
              <w:rPr>
                <w:rFonts w:hint="eastAsia" w:cs="仿宋"/>
                <w:sz w:val="24"/>
                <w:szCs w:val="24"/>
              </w:rPr>
              <w:t xml:space="preserve">投标响应承诺函</w:t>
            </w:r>
            <w:r/>
          </w:p>
        </w:tc>
        <w:tc>
          <w:tcPr>
            <w:tcBorders>
              <w:top w:val="single" w:color="000000" w:sz="12" w:space="0"/>
              <w:left w:val="single" w:color="000000" w:sz="12" w:space="0"/>
              <w:bottom w:val="single" w:color="000000" w:sz="12" w:space="0"/>
            </w:tcBorders>
            <w:tcW w:w="4246" w:type="dxa"/>
            <w:vAlign w:val="center"/>
            <w:textDirection w:val="lrTb"/>
            <w:noWrap w:val="false"/>
          </w:tcPr>
          <w:p>
            <w:pPr>
              <w:jc w:val="center"/>
              <w:spacing w:line="480" w:lineRule="exact"/>
              <w:rPr>
                <w:rFonts w:cs="仿宋"/>
                <w:sz w:val="24"/>
                <w:szCs w:val="24"/>
              </w:rPr>
            </w:pPr>
            <w:r>
              <w:rPr>
                <w:rFonts w:hint="eastAsia" w:cs="仿宋"/>
                <w:sz w:val="24"/>
                <w:szCs w:val="24"/>
              </w:rPr>
              <w:t xml:space="preserve">符合招标文件要求</w:t>
            </w:r>
            <w:r/>
          </w:p>
        </w:tc>
      </w:tr>
      <w:tr>
        <w:trPr/>
        <w:tc>
          <w:tcPr>
            <w:tcBorders>
              <w:top w:val="single" w:color="000000" w:sz="12" w:space="0"/>
              <w:bottom w:val="single" w:color="000000" w:sz="12" w:space="0"/>
              <w:right w:val="single" w:color="000000" w:sz="12" w:space="0"/>
            </w:tcBorders>
            <w:tcW w:w="4422" w:type="dxa"/>
            <w:vAlign w:val="center"/>
            <w:textDirection w:val="lrTb"/>
            <w:noWrap w:val="false"/>
          </w:tcPr>
          <w:p>
            <w:pPr>
              <w:jc w:val="center"/>
              <w:spacing w:line="480" w:lineRule="exact"/>
              <w:rPr>
                <w:rFonts w:cs="仿宋"/>
                <w:sz w:val="24"/>
                <w:szCs w:val="24"/>
              </w:rPr>
            </w:pPr>
            <w:r>
              <w:rPr>
                <w:rFonts w:hint="eastAsia" w:cs="仿宋"/>
                <w:sz w:val="24"/>
                <w:szCs w:val="24"/>
              </w:rPr>
              <w:t xml:space="preserve">信用信息</w:t>
            </w:r>
            <w:r/>
          </w:p>
        </w:tc>
        <w:tc>
          <w:tcPr>
            <w:tcBorders>
              <w:top w:val="single" w:color="000000" w:sz="12" w:space="0"/>
              <w:left w:val="single" w:color="000000" w:sz="12" w:space="0"/>
              <w:bottom w:val="single" w:color="000000" w:sz="12" w:space="0"/>
            </w:tcBorders>
            <w:tcW w:w="4246" w:type="dxa"/>
            <w:vAlign w:val="center"/>
            <w:textDirection w:val="lrTb"/>
            <w:noWrap w:val="false"/>
          </w:tcPr>
          <w:p>
            <w:pPr>
              <w:jc w:val="center"/>
              <w:spacing w:line="480" w:lineRule="exact"/>
              <w:rPr>
                <w:rFonts w:cs="仿宋"/>
                <w:sz w:val="24"/>
                <w:szCs w:val="24"/>
              </w:rPr>
            </w:pPr>
            <w:r>
              <w:rPr>
                <w:rFonts w:hint="eastAsia" w:cs="仿宋"/>
                <w:sz w:val="24"/>
                <w:szCs w:val="24"/>
              </w:rPr>
              <w:t xml:space="preserve">符合招标文件要求</w:t>
            </w:r>
            <w:r/>
          </w:p>
        </w:tc>
      </w:tr>
      <w:tr>
        <w:trPr/>
        <w:tc>
          <w:tcPr>
            <w:tcBorders>
              <w:top w:val="single" w:color="000000" w:sz="12" w:space="0"/>
              <w:bottom w:val="single" w:color="000000" w:sz="12" w:space="0"/>
              <w:right w:val="single" w:color="000000" w:sz="12" w:space="0"/>
            </w:tcBorders>
            <w:tcW w:w="4422" w:type="dxa"/>
            <w:vAlign w:val="center"/>
            <w:textDirection w:val="lrTb"/>
            <w:noWrap w:val="false"/>
          </w:tcPr>
          <w:p>
            <w:pPr>
              <w:jc w:val="center"/>
              <w:spacing w:line="480" w:lineRule="exact"/>
              <w:rPr>
                <w:rFonts w:cs="仿宋"/>
                <w:sz w:val="24"/>
                <w:szCs w:val="24"/>
              </w:rPr>
            </w:pPr>
            <w:r>
              <w:rPr>
                <w:rFonts w:hint="eastAsia" w:cs="仿宋"/>
                <w:sz w:val="24"/>
                <w:szCs w:val="24"/>
              </w:rPr>
              <w:t xml:space="preserve">本项目的特定资格要求</w:t>
            </w:r>
            <w:r/>
          </w:p>
        </w:tc>
        <w:tc>
          <w:tcPr>
            <w:tcBorders>
              <w:top w:val="single" w:color="000000" w:sz="12" w:space="0"/>
              <w:left w:val="single" w:color="000000" w:sz="12" w:space="0"/>
              <w:bottom w:val="single" w:color="000000" w:sz="12" w:space="0"/>
            </w:tcBorders>
            <w:tcW w:w="4246" w:type="dxa"/>
            <w:vAlign w:val="center"/>
            <w:textDirection w:val="lrTb"/>
            <w:noWrap w:val="false"/>
          </w:tcPr>
          <w:p>
            <w:pPr>
              <w:jc w:val="center"/>
              <w:spacing w:line="480" w:lineRule="exact"/>
              <w:rPr>
                <w:rFonts w:cs="仿宋"/>
                <w:sz w:val="24"/>
                <w:szCs w:val="24"/>
              </w:rPr>
            </w:pPr>
            <w:r>
              <w:rPr>
                <w:rFonts w:hint="eastAsia" w:cs="仿宋"/>
                <w:sz w:val="24"/>
                <w:szCs w:val="24"/>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Style w:val="875"/>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bottom w:val="single" w:color="000000" w:sz="12" w:space="0"/>
              <w:right w:val="single" w:color="000000" w:sz="12" w:space="0"/>
            </w:tcBorders>
            <w:tcW w:w="4364" w:type="dxa"/>
            <w:vAlign w:val="center"/>
            <w:textDirection w:val="lrTb"/>
            <w:noWrap w:val="false"/>
          </w:tcPr>
          <w:p>
            <w:pPr>
              <w:jc w:val="center"/>
              <w:spacing w:line="480" w:lineRule="exact"/>
              <w:rPr>
                <w:rFonts w:ascii="Times New Roman" w:hAnsi="Times New Roman" w:cs="仿宋"/>
                <w:b/>
                <w:bCs/>
                <w:sz w:val="24"/>
                <w:szCs w:val="24"/>
              </w:rPr>
            </w:pPr>
            <w:r>
              <w:rPr>
                <w:rFonts w:hint="eastAsia" w:ascii="Times New Roman" w:hAnsi="Times New Roman" w:cs="仿宋"/>
                <w:b/>
                <w:bCs/>
                <w:sz w:val="24"/>
                <w:szCs w:val="24"/>
              </w:rPr>
              <w:t xml:space="preserve">符合性审查因素</w:t>
            </w:r>
            <w:r/>
          </w:p>
        </w:tc>
        <w:tc>
          <w:tcPr>
            <w:tcBorders>
              <w:left w:val="single" w:color="000000" w:sz="12" w:space="0"/>
              <w:bottom w:val="single" w:color="000000" w:sz="12" w:space="0"/>
            </w:tcBorders>
            <w:tcW w:w="4304" w:type="dxa"/>
            <w:vAlign w:val="center"/>
            <w:textDirection w:val="lrTb"/>
            <w:noWrap w:val="false"/>
          </w:tcPr>
          <w:p>
            <w:pPr>
              <w:jc w:val="center"/>
              <w:spacing w:line="480" w:lineRule="exact"/>
              <w:rPr>
                <w:rFonts w:ascii="Times New Roman" w:hAnsi="Times New Roman" w:cs="仿宋"/>
                <w:b/>
                <w:bCs/>
                <w:sz w:val="24"/>
                <w:szCs w:val="24"/>
              </w:rPr>
            </w:pPr>
            <w:r>
              <w:rPr>
                <w:rFonts w:hint="eastAsia" w:ascii="Times New Roman" w:hAnsi="Times New Roman" w:cs="仿宋"/>
                <w:b/>
                <w:bCs/>
                <w:sz w:val="24"/>
                <w:szCs w:val="24"/>
              </w:rPr>
              <w:t xml:space="preserve">审查标准</w:t>
            </w:r>
            <w:r/>
          </w:p>
        </w:tc>
      </w:tr>
      <w:tr>
        <w:trPr/>
        <w:tc>
          <w:tcPr>
            <w:tcBorders>
              <w:top w:val="single" w:color="000000" w:sz="12" w:space="0"/>
              <w:bottom w:val="single" w:color="000000" w:sz="12" w:space="0"/>
              <w:right w:val="single" w:color="000000" w:sz="12" w:space="0"/>
            </w:tcBorders>
            <w:tcW w:w="4364" w:type="dxa"/>
            <w:vAlign w:val="center"/>
            <w:textDirection w:val="lrTb"/>
            <w:noWrap w:val="false"/>
          </w:tcPr>
          <w:p>
            <w:pPr>
              <w:jc w:val="center"/>
              <w:spacing w:line="480" w:lineRule="exact"/>
              <w:rPr>
                <w:rFonts w:cs="仿宋"/>
                <w:sz w:val="24"/>
                <w:szCs w:val="24"/>
              </w:rPr>
            </w:pPr>
            <w:r>
              <w:rPr>
                <w:rFonts w:hint="eastAsia" w:cs="仿宋"/>
                <w:sz w:val="24"/>
                <w:szCs w:val="24"/>
              </w:rPr>
              <w:t xml:space="preserve">法定代表人身份证明或授权委托书</w:t>
            </w:r>
            <w:r/>
          </w:p>
        </w:tc>
        <w:tc>
          <w:tcPr>
            <w:tcBorders>
              <w:top w:val="single" w:color="000000" w:sz="12" w:space="0"/>
              <w:left w:val="single" w:color="000000" w:sz="12" w:space="0"/>
              <w:bottom w:val="single" w:color="000000" w:sz="12" w:space="0"/>
            </w:tcBorders>
            <w:tcW w:w="4304" w:type="dxa"/>
            <w:vAlign w:val="center"/>
            <w:textDirection w:val="lrTb"/>
            <w:noWrap w:val="false"/>
          </w:tcPr>
          <w:p>
            <w:pPr>
              <w:jc w:val="center"/>
              <w:spacing w:line="480" w:lineRule="exact"/>
              <w:rPr>
                <w:rFonts w:cs="仿宋"/>
                <w:sz w:val="24"/>
                <w:szCs w:val="24"/>
              </w:rPr>
            </w:pPr>
            <w:r>
              <w:rPr>
                <w:rFonts w:hint="eastAsia" w:cs="仿宋"/>
                <w:sz w:val="24"/>
                <w:szCs w:val="24"/>
              </w:rPr>
              <w:t xml:space="preserve">符合招标文件要求</w:t>
            </w:r>
            <w:r/>
          </w:p>
        </w:tc>
      </w:tr>
      <w:tr>
        <w:trPr/>
        <w:tc>
          <w:tcPr>
            <w:tcBorders>
              <w:top w:val="single" w:color="000000" w:sz="12" w:space="0"/>
              <w:bottom w:val="single" w:color="000000" w:sz="12" w:space="0"/>
              <w:right w:val="single" w:color="000000" w:sz="12" w:space="0"/>
            </w:tcBorders>
            <w:tcW w:w="4364" w:type="dxa"/>
            <w:vAlign w:val="center"/>
            <w:textDirection w:val="lrTb"/>
            <w:noWrap w:val="false"/>
          </w:tcPr>
          <w:p>
            <w:pPr>
              <w:jc w:val="center"/>
              <w:spacing w:line="480" w:lineRule="exact"/>
              <w:rPr>
                <w:rFonts w:cs="仿宋"/>
                <w:sz w:val="24"/>
                <w:szCs w:val="24"/>
              </w:rPr>
            </w:pPr>
            <w:r>
              <w:rPr>
                <w:rFonts w:hint="eastAsia" w:cs="仿宋"/>
                <w:sz w:val="24"/>
                <w:szCs w:val="24"/>
              </w:rPr>
              <w:t xml:space="preserve">开标一览表及投标报价</w:t>
            </w:r>
            <w:r/>
          </w:p>
        </w:tc>
        <w:tc>
          <w:tcPr>
            <w:tcBorders>
              <w:top w:val="single" w:color="000000" w:sz="12" w:space="0"/>
              <w:left w:val="single" w:color="000000" w:sz="12" w:space="0"/>
              <w:bottom w:val="single" w:color="000000" w:sz="12" w:space="0"/>
            </w:tcBorders>
            <w:tcW w:w="4304" w:type="dxa"/>
            <w:vAlign w:val="center"/>
            <w:textDirection w:val="lrTb"/>
            <w:noWrap w:val="false"/>
          </w:tcPr>
          <w:p>
            <w:pPr>
              <w:jc w:val="center"/>
              <w:spacing w:line="480" w:lineRule="exact"/>
              <w:rPr>
                <w:rFonts w:cs="仿宋"/>
                <w:sz w:val="24"/>
                <w:szCs w:val="24"/>
              </w:rPr>
            </w:pPr>
            <w:r>
              <w:rPr>
                <w:rFonts w:hint="eastAsia" w:cs="仿宋"/>
                <w:sz w:val="24"/>
                <w:szCs w:val="24"/>
              </w:rPr>
              <w:t xml:space="preserve">符合招标文件规定</w:t>
            </w:r>
            <w:r/>
          </w:p>
        </w:tc>
      </w:tr>
      <w:tr>
        <w:trPr/>
        <w:tc>
          <w:tcPr>
            <w:tcBorders>
              <w:top w:val="single" w:color="000000" w:sz="12" w:space="0"/>
              <w:bottom w:val="single" w:color="000000" w:sz="12" w:space="0"/>
              <w:right w:val="single" w:color="000000" w:sz="12" w:space="0"/>
            </w:tcBorders>
            <w:tcW w:w="4364" w:type="dxa"/>
            <w:vAlign w:val="center"/>
            <w:textDirection w:val="lrTb"/>
            <w:noWrap w:val="false"/>
          </w:tcPr>
          <w:p>
            <w:pPr>
              <w:jc w:val="center"/>
              <w:spacing w:line="480" w:lineRule="exact"/>
              <w:rPr>
                <w:rFonts w:cs="仿宋"/>
                <w:sz w:val="24"/>
                <w:szCs w:val="24"/>
              </w:rPr>
            </w:pPr>
            <w:r>
              <w:rPr>
                <w:rFonts w:hint="eastAsia" w:cs="仿宋"/>
                <w:sz w:val="24"/>
                <w:szCs w:val="24"/>
              </w:rPr>
              <w:t xml:space="preserve">投标函</w:t>
            </w:r>
            <w:r/>
          </w:p>
        </w:tc>
        <w:tc>
          <w:tcPr>
            <w:tcBorders>
              <w:top w:val="single" w:color="000000" w:sz="12" w:space="0"/>
              <w:left w:val="single" w:color="000000" w:sz="12" w:space="0"/>
              <w:bottom w:val="single" w:color="000000" w:sz="12" w:space="0"/>
            </w:tcBorders>
            <w:tcW w:w="4304" w:type="dxa"/>
            <w:vAlign w:val="center"/>
            <w:textDirection w:val="lrTb"/>
            <w:noWrap w:val="false"/>
          </w:tcPr>
          <w:p>
            <w:pPr>
              <w:jc w:val="center"/>
              <w:spacing w:line="480" w:lineRule="exact"/>
              <w:rPr>
                <w:rFonts w:cs="仿宋"/>
                <w:sz w:val="24"/>
                <w:szCs w:val="24"/>
              </w:rPr>
            </w:pPr>
            <w:r>
              <w:rPr>
                <w:rFonts w:hint="eastAsia" w:cs="仿宋"/>
                <w:sz w:val="24"/>
                <w:szCs w:val="24"/>
              </w:rPr>
              <w:t xml:space="preserve">符合招标文件规定</w:t>
            </w:r>
            <w:r/>
          </w:p>
        </w:tc>
      </w:tr>
      <w:tr>
        <w:trPr/>
        <w:tc>
          <w:tcPr>
            <w:tcBorders>
              <w:top w:val="single" w:color="000000" w:sz="12" w:space="0"/>
              <w:bottom w:val="single" w:color="000000" w:sz="12" w:space="0"/>
              <w:right w:val="single" w:color="000000" w:sz="12" w:space="0"/>
            </w:tcBorders>
            <w:tcW w:w="4364" w:type="dxa"/>
            <w:vAlign w:val="center"/>
            <w:textDirection w:val="lrTb"/>
            <w:noWrap w:val="false"/>
          </w:tcPr>
          <w:p>
            <w:pPr>
              <w:jc w:val="center"/>
              <w:spacing w:line="480" w:lineRule="exact"/>
              <w:rPr>
                <w:rFonts w:cs="仿宋"/>
                <w:sz w:val="24"/>
                <w:szCs w:val="24"/>
              </w:rPr>
            </w:pPr>
            <w:r>
              <w:rPr>
                <w:rFonts w:cs="仿宋"/>
                <w:sz w:val="24"/>
                <w:szCs w:val="24"/>
              </w:rPr>
              <w:t xml:space="preserve">技术标准和要求</w:t>
            </w:r>
            <w:r/>
          </w:p>
        </w:tc>
        <w:tc>
          <w:tcPr>
            <w:tcBorders>
              <w:top w:val="single" w:color="000000" w:sz="12" w:space="0"/>
              <w:left w:val="single" w:color="000000" w:sz="12" w:space="0"/>
              <w:bottom w:val="single" w:color="000000" w:sz="12" w:space="0"/>
            </w:tcBorders>
            <w:tcW w:w="4304" w:type="dxa"/>
            <w:vAlign w:val="center"/>
            <w:textDirection w:val="lrTb"/>
            <w:noWrap w:val="false"/>
          </w:tcPr>
          <w:p>
            <w:pPr>
              <w:jc w:val="center"/>
              <w:spacing w:line="480" w:lineRule="exact"/>
              <w:rPr>
                <w:rFonts w:cs="仿宋"/>
                <w:sz w:val="24"/>
                <w:szCs w:val="24"/>
              </w:rPr>
            </w:pPr>
            <w:r>
              <w:rPr>
                <w:rFonts w:hint="eastAsia" w:cs="仿宋"/>
                <w:sz w:val="24"/>
                <w:szCs w:val="24"/>
              </w:rPr>
              <w:t xml:space="preserve">符合招标文件规定</w:t>
            </w:r>
            <w:r/>
          </w:p>
        </w:tc>
      </w:tr>
      <w:tr>
        <w:trPr/>
        <w:tc>
          <w:tcPr>
            <w:tcBorders>
              <w:top w:val="single" w:color="000000" w:sz="12" w:space="0"/>
              <w:right w:val="single" w:color="000000" w:sz="12" w:space="0"/>
            </w:tcBorders>
            <w:tcW w:w="4364" w:type="dxa"/>
            <w:vAlign w:val="center"/>
            <w:textDirection w:val="lrTb"/>
            <w:noWrap w:val="false"/>
          </w:tcPr>
          <w:p>
            <w:pPr>
              <w:jc w:val="center"/>
              <w:spacing w:line="480" w:lineRule="exact"/>
              <w:rPr>
                <w:rFonts w:cs="仿宋"/>
                <w:sz w:val="24"/>
                <w:szCs w:val="24"/>
              </w:rPr>
            </w:pPr>
            <w:r>
              <w:rPr>
                <w:rFonts w:hint="eastAsia" w:cs="仿宋"/>
                <w:sz w:val="24"/>
                <w:szCs w:val="24"/>
              </w:rPr>
              <w:t xml:space="preserve">其他</w:t>
            </w:r>
            <w:r/>
          </w:p>
        </w:tc>
        <w:tc>
          <w:tcPr>
            <w:tcBorders>
              <w:top w:val="single" w:color="000000" w:sz="12" w:space="0"/>
              <w:left w:val="single" w:color="000000" w:sz="12" w:space="0"/>
            </w:tcBorders>
            <w:tcW w:w="4304" w:type="dxa"/>
            <w:vAlign w:val="center"/>
            <w:textDirection w:val="lrTb"/>
            <w:noWrap w:val="false"/>
          </w:tcPr>
          <w:p>
            <w:pPr>
              <w:jc w:val="center"/>
              <w:spacing w:line="480" w:lineRule="exact"/>
              <w:rPr>
                <w:rFonts w:cs="仿宋"/>
                <w:sz w:val="24"/>
                <w:szCs w:val="24"/>
              </w:rPr>
            </w:pPr>
            <w:r>
              <w:rPr>
                <w:rFonts w:hint="eastAsia" w:cs="仿宋"/>
                <w:sz w:val="24"/>
                <w:szCs w:val="24"/>
              </w:rPr>
              <w:t xml:space="preserve">符合招标文件要求</w:t>
            </w:r>
            <w:r/>
          </w:p>
        </w:tc>
      </w:tr>
    </w:tbl>
    <w:p>
      <w:pPr>
        <w:ind w:firstLine="482"/>
        <w:jc w:val="left"/>
        <w:spacing w:line="480" w:lineRule="exact"/>
        <w:rPr>
          <w:rFonts w:ascii="Times New Roman" w:hAnsi="Times New Roman" w:cs="仿宋"/>
          <w:b/>
          <w:bCs/>
          <w:color w:val="ff0000"/>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color w:val="000000"/>
          <w:sz w:val="24"/>
        </w:rPr>
      </w:pPr>
      <w:r>
        <w:rPr>
          <w:rFonts w:hint="eastAsia"/>
          <w:sz w:val="24"/>
          <w:szCs w:val="28"/>
        </w:rPr>
        <w:t xml:space="preserve">本项目采用综合评分法，评标结果按评审后得分由高到低顺序排列。得分相同的，按投标报价由低到高顺序排序。得</w:t>
      </w:r>
      <w:r>
        <w:rPr>
          <w:rFonts w:hint="eastAsia"/>
          <w:color w:val="000000"/>
          <w:sz w:val="24"/>
          <w:szCs w:val="28"/>
        </w:rPr>
        <w:t xml:space="preserve">分且投标报价相同的并列。</w:t>
      </w:r>
      <w:r/>
    </w:p>
    <w:p>
      <w:pPr>
        <w:ind w:firstLine="480"/>
        <w:jc w:val="left"/>
        <w:spacing w:line="480" w:lineRule="exact"/>
        <w:rPr>
          <w:rFonts w:ascii="Times New Roman" w:hAnsi="Times New Roman" w:cs="仿宋"/>
          <w:color w:val="000000"/>
          <w:sz w:val="24"/>
        </w:rPr>
      </w:pPr>
      <w:r>
        <w:rPr>
          <w:rFonts w:hint="eastAsia" w:ascii="Times New Roman" w:hAnsi="Times New Roman" w:cs="仿宋"/>
          <w:color w:val="000000"/>
          <w:sz w:val="24"/>
        </w:rPr>
        <w:t xml:space="preserve">综合评分保留至小数点后两位。</w:t>
      </w:r>
      <w:r/>
    </w:p>
    <w:p>
      <w:pPr>
        <w:ind w:firstLine="480"/>
        <w:jc w:val="left"/>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评标委员会根据评标后投标人排序推荐中标候选人，并形成评标报告。</w:t>
      </w:r>
      <w:r/>
    </w:p>
    <w:p>
      <w:pPr>
        <w:numPr>
          <w:ilvl w:val="0"/>
          <w:numId w:val="3"/>
        </w:num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评标标准</w:t>
      </w:r>
      <w:r/>
    </w:p>
    <w:tbl>
      <w:tblPr>
        <w:tblStyle w:val="875"/>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7"/>
        <w:gridCol w:w="1258"/>
        <w:gridCol w:w="719"/>
        <w:gridCol w:w="7408"/>
      </w:tblGrid>
      <w:tr>
        <w:trPr>
          <w:jc w:val="center"/>
          <w:trHeight w:val="454"/>
        </w:trPr>
        <w:tc>
          <w:tcPr>
            <w:tcW w:w="557" w:type="dxa"/>
            <w:vAlign w:val="center"/>
            <w:textDirection w:val="lrTb"/>
            <w:noWrap w:val="false"/>
          </w:tcPr>
          <w:p>
            <w:pPr>
              <w:jc w:val="center"/>
              <w:rPr>
                <w:rFonts w:hint="eastAsia" w:ascii="宋体" w:hAnsi="宋体" w:cs="宋体"/>
                <w:b/>
                <w:spacing w:val="-6"/>
                <w:sz w:val="24"/>
                <w:szCs w:val="24"/>
                <w14:ligatures w14:val="standardContextual"/>
              </w:rPr>
            </w:pPr>
            <w:r/>
            <w:bookmarkStart w:id="119" w:name="_Toc2916"/>
            <w:r/>
            <w:bookmarkStart w:id="120" w:name="_Toc12255"/>
            <w:r/>
            <w:bookmarkStart w:id="121" w:name="_Toc81575168"/>
            <w:r/>
            <w:bookmarkStart w:id="122" w:name="_Toc81575205"/>
            <w:r>
              <w:rPr>
                <w:rFonts w:hint="eastAsia" w:ascii="宋体" w:hAnsi="宋体" w:cs="宋体"/>
                <w:b/>
                <w:spacing w:val="-6"/>
                <w:sz w:val="24"/>
                <w:szCs w:val="24"/>
                <w14:ligatures w14:val="standardContextual"/>
              </w:rPr>
              <w:t xml:space="preserve">序号</w:t>
            </w:r>
            <w:r/>
          </w:p>
        </w:tc>
        <w:tc>
          <w:tcPr>
            <w:tcW w:w="1258" w:type="dxa"/>
            <w:vAlign w:val="center"/>
            <w:textDirection w:val="lrTb"/>
            <w:noWrap w:val="false"/>
          </w:tcPr>
          <w:p>
            <w:pPr>
              <w:jc w:val="center"/>
              <w:rPr>
                <w:rFonts w:hint="eastAsia" w:ascii="宋体" w:hAnsi="宋体" w:cs="宋体"/>
                <w:b/>
                <w:spacing w:val="-6"/>
                <w:sz w:val="24"/>
                <w:szCs w:val="24"/>
                <w14:ligatures w14:val="standardContextual"/>
              </w:rPr>
            </w:pPr>
            <w:r>
              <w:rPr>
                <w:rFonts w:hint="eastAsia" w:ascii="宋体" w:hAnsi="宋体" w:cs="宋体"/>
                <w:b/>
                <w:spacing w:val="-6"/>
                <w:sz w:val="24"/>
                <w:szCs w:val="24"/>
                <w14:ligatures w14:val="standardContextual"/>
              </w:rPr>
              <w:t xml:space="preserve">评分项目</w:t>
            </w:r>
            <w:r/>
          </w:p>
        </w:tc>
        <w:tc>
          <w:tcPr>
            <w:tcW w:w="719" w:type="dxa"/>
            <w:vAlign w:val="center"/>
            <w:textDirection w:val="lrTb"/>
            <w:noWrap w:val="false"/>
          </w:tcPr>
          <w:p>
            <w:pPr>
              <w:jc w:val="center"/>
              <w:rPr>
                <w:rFonts w:hint="eastAsia" w:ascii="宋体" w:hAnsi="宋体" w:cs="宋体"/>
                <w:b/>
                <w:spacing w:val="-6"/>
                <w:sz w:val="24"/>
                <w:szCs w:val="24"/>
                <w14:ligatures w14:val="standardContextual"/>
              </w:rPr>
            </w:pPr>
            <w:r>
              <w:rPr>
                <w:rFonts w:hint="eastAsia" w:ascii="宋体" w:hAnsi="宋体" w:cs="宋体"/>
                <w:b/>
                <w:spacing w:val="-6"/>
                <w:sz w:val="24"/>
                <w:szCs w:val="24"/>
                <w14:ligatures w14:val="standardContextual"/>
              </w:rPr>
              <w:t xml:space="preserve">分值</w:t>
            </w:r>
            <w:r/>
          </w:p>
        </w:tc>
        <w:tc>
          <w:tcPr>
            <w:tcW w:w="7408" w:type="dxa"/>
            <w:vAlign w:val="center"/>
            <w:textDirection w:val="lrTb"/>
            <w:noWrap w:val="false"/>
          </w:tcPr>
          <w:p>
            <w:pPr>
              <w:jc w:val="center"/>
              <w:tabs>
                <w:tab w:val="left" w:pos="1418" w:leader="none"/>
              </w:tabs>
              <w:rPr>
                <w:rFonts w:hint="eastAsia" w:ascii="宋体" w:hAnsi="宋体" w:cs="宋体"/>
                <w:b/>
                <w:spacing w:val="-6"/>
                <w:sz w:val="24"/>
                <w:szCs w:val="24"/>
                <w14:ligatures w14:val="standardContextual"/>
              </w:rPr>
            </w:pPr>
            <w:r>
              <w:rPr>
                <w:rFonts w:hint="eastAsia" w:ascii="宋体" w:hAnsi="宋体" w:cs="宋体"/>
                <w:b/>
                <w:spacing w:val="-6"/>
                <w:sz w:val="24"/>
                <w:szCs w:val="24"/>
                <w14:ligatures w14:val="standardContextual"/>
              </w:rPr>
              <w:t xml:space="preserve">评分细则</w:t>
            </w:r>
            <w:r/>
          </w:p>
        </w:tc>
      </w:tr>
      <w:tr>
        <w:trPr>
          <w:jc w:val="center"/>
          <w:trHeight w:val="454"/>
        </w:trPr>
        <w:tc>
          <w:tcPr>
            <w:tcW w:w="557"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1</w:t>
            </w:r>
            <w:r/>
          </w:p>
        </w:tc>
        <w:tc>
          <w:tcPr>
            <w:tcW w:w="1258"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投标报价</w:t>
            </w:r>
            <w:r/>
          </w:p>
        </w:tc>
        <w:tc>
          <w:tcPr>
            <w:tcW w:w="719" w:type="dxa"/>
            <w:vAlign w:val="center"/>
            <w:textDirection w:val="lrTb"/>
            <w:noWrap w:val="false"/>
          </w:tcPr>
          <w:p>
            <w:pPr>
              <w:jc w:val="cente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35</w:t>
            </w:r>
            <w:r/>
          </w:p>
        </w:tc>
        <w:tc>
          <w:tcPr>
            <w:tcW w:w="7408" w:type="dxa"/>
            <w:vAlign w:val="center"/>
            <w:textDirection w:val="lrTb"/>
            <w:noWrap w:val="false"/>
          </w:tcPr>
          <w:p>
            <w:pP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1.价格分采用低价优先法计算，即：满足招标文件要求且投标价格最低的投标报价为评标基准价</w:t>
            </w:r>
            <w:r>
              <w:rPr>
                <w:rFonts w:hint="eastAsia" w:ascii="宋体" w:hAnsi="宋体" w:cs="宋体"/>
                <w:spacing w:val="-6"/>
                <w:sz w:val="24"/>
                <w:szCs w:val="24"/>
                <w:lang w:val="zh-TW"/>
                <w14:ligatures w14:val="standardContextual"/>
              </w:rPr>
              <w:t xml:space="preserve">，其最低报价为满分；</w:t>
            </w:r>
            <w:r/>
          </w:p>
          <w:p>
            <w:pP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2.其他投标人的价格分按照下列公式计算：</w:t>
            </w:r>
            <w:r>
              <w:rPr>
                <w:rFonts w:hint="eastAsia" w:ascii="宋体" w:hAnsi="宋体" w:cs="宋体"/>
                <w:spacing w:val="-6"/>
                <w:sz w:val="24"/>
                <w:szCs w:val="24"/>
                <w:lang w:val="zh-TW"/>
                <w14:ligatures w14:val="standardContextual"/>
              </w:rPr>
              <w:t xml:space="preserve">［投标报价得分=（评标基准价/投标报价）*</w:t>
            </w:r>
            <w:r>
              <w:rPr>
                <w:rFonts w:hint="eastAsia" w:ascii="宋体" w:hAnsi="宋体" w:cs="宋体"/>
                <w:spacing w:val="-6"/>
                <w:sz w:val="24"/>
                <w:szCs w:val="24"/>
                <w14:ligatures w14:val="standardContextual"/>
              </w:rPr>
              <w:t xml:space="preserve">35</w:t>
            </w:r>
            <w:r>
              <w:rPr>
                <w:rFonts w:hint="eastAsia" w:ascii="宋体" w:hAnsi="宋体" w:cs="宋体"/>
                <w:spacing w:val="-6"/>
                <w:sz w:val="24"/>
                <w:szCs w:val="24"/>
                <w:lang w:val="zh-TW"/>
                <w14:ligatures w14:val="standardContextual"/>
              </w:rPr>
              <w:t xml:space="preserve">］的计算公式计算；</w:t>
            </w:r>
            <w:r/>
          </w:p>
          <w:p>
            <w:pP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3.</w:t>
            </w:r>
            <w:r>
              <w:rPr>
                <w:rFonts w:hint="eastAsia" w:ascii="宋体" w:hAnsi="宋体" w:cs="宋体"/>
                <w:spacing w:val="-6"/>
                <w:sz w:val="24"/>
                <w:szCs w:val="24"/>
                <w:lang w:val="zh-TW"/>
                <w14:ligatures w14:val="standardContextual"/>
              </w:rPr>
              <w:t xml:space="preserve">评标过程中，不得去掉报价中的最高报价和最低报价。</w:t>
            </w:r>
            <w:r/>
          </w:p>
        </w:tc>
      </w:tr>
      <w:tr>
        <w:trPr>
          <w:jc w:val="center"/>
          <w:trHeight w:val="454"/>
        </w:trPr>
        <w:tc>
          <w:tcPr>
            <w:tcW w:w="557"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2</w:t>
            </w:r>
            <w:r/>
          </w:p>
        </w:tc>
        <w:tc>
          <w:tcPr>
            <w:tcW w:w="1258"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技术参数</w:t>
            </w:r>
            <w:r/>
          </w:p>
        </w:tc>
        <w:tc>
          <w:tcPr>
            <w:tcW w:w="719" w:type="dxa"/>
            <w:vAlign w:val="center"/>
            <w:textDirection w:val="lrTb"/>
            <w:noWrap w:val="false"/>
          </w:tcPr>
          <w:p>
            <w:pPr>
              <w:jc w:val="cente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21</w:t>
            </w:r>
            <w:r/>
          </w:p>
        </w:tc>
        <w:tc>
          <w:tcPr>
            <w:tcW w:w="7408" w:type="dxa"/>
            <w:vAlign w:val="center"/>
            <w:textDirection w:val="lrTb"/>
            <w:noWrap w:val="false"/>
          </w:tcPr>
          <w:p>
            <w:pPr>
              <w:jc w:val="left"/>
              <w:rPr>
                <w:rFonts w:hint="eastAsia" w:ascii="宋体" w:hAnsi="宋体" w:cs="宋体"/>
                <w:b/>
                <w:bCs/>
                <w:spacing w:val="-6"/>
                <w:sz w:val="24"/>
                <w:szCs w:val="24"/>
                <w14:ligatures w14:val="standardContextual"/>
              </w:rPr>
            </w:pPr>
            <w:r>
              <w:rPr>
                <w:rFonts w:hint="eastAsia" w:ascii="宋体" w:hAnsi="宋体" w:cs="宋体"/>
                <w:b/>
                <w:bCs/>
                <w:spacing w:val="-6"/>
                <w:sz w:val="24"/>
                <w:szCs w:val="24"/>
                <w14:ligatures w14:val="standardContextual"/>
              </w:rPr>
              <w:t xml:space="preserve">技术参数和功能（含强制节能认证）</w:t>
            </w:r>
            <w:r>
              <w:rPr>
                <w:rFonts w:hint="eastAsia" w:ascii="宋体" w:hAnsi="宋体" w:cs="宋体"/>
                <w:b/>
                <w:bCs/>
                <w:spacing w:val="-6"/>
                <w:sz w:val="24"/>
                <w:szCs w:val="24"/>
                <w:lang w:eastAsia="zh-CN"/>
                <w14:ligatures w14:val="standardContextual"/>
              </w:rPr>
              <w:t xml:space="preserve">，</w:t>
            </w:r>
            <w:r>
              <w:rPr>
                <w:rFonts w:hint="eastAsia" w:ascii="宋体" w:hAnsi="宋体" w:cs="宋体"/>
                <w:b/>
                <w:bCs/>
                <w:spacing w:val="-6"/>
                <w:sz w:val="24"/>
                <w:szCs w:val="24"/>
                <w14:ligatures w14:val="standardContextual"/>
              </w:rPr>
              <w:t xml:space="preserve">本项共21分。</w:t>
            </w:r>
            <w:r/>
          </w:p>
          <w:p>
            <w:pPr>
              <w:jc w:val="left"/>
              <w:rPr>
                <w:rFonts w:hint="eastAsia" w:ascii="宋体" w:hAnsi="宋体" w:cs="宋体"/>
                <w:b/>
                <w:bCs/>
                <w:spacing w:val="-6"/>
                <w:sz w:val="24"/>
                <w:szCs w:val="24"/>
                <w14:ligatures w14:val="standardContextual"/>
              </w:rPr>
            </w:pPr>
            <w:r>
              <w:rPr>
                <w:rFonts w:hint="eastAsia" w:ascii="宋体" w:hAnsi="宋体" w:cs="宋体"/>
                <w:b/>
                <w:bCs/>
                <w:spacing w:val="-6"/>
                <w:sz w:val="24"/>
                <w:szCs w:val="24"/>
                <w14:ligatures w14:val="standardContextual"/>
              </w:rPr>
              <w:t xml:space="preserve">（1）标★部分为实质性响应条款，不接受负偏离，否则视为无效标；</w:t>
            </w:r>
            <w:r/>
          </w:p>
          <w:p>
            <w:pPr>
              <w:jc w:val="left"/>
              <w:rPr>
                <w:rFonts w:hint="eastAsia" w:ascii="宋体" w:hAnsi="宋体" w:cs="宋体"/>
                <w:b/>
                <w:bCs/>
                <w:spacing w:val="-6"/>
                <w:sz w:val="24"/>
                <w:szCs w:val="24"/>
                <w14:ligatures w14:val="standardContextual"/>
              </w:rPr>
            </w:pPr>
            <w:r>
              <w:rPr>
                <w:rFonts w:hint="eastAsia" w:ascii="宋体" w:hAnsi="宋体" w:cs="宋体"/>
                <w:b/>
                <w:bCs/>
                <w:spacing w:val="-6"/>
                <w:sz w:val="24"/>
                <w:szCs w:val="24"/>
                <w14:ligatures w14:val="standardContextual"/>
              </w:rPr>
              <w:t xml:space="preserve">（2）标▲参数为重要参数，每有1项负偏离扣</w:t>
            </w:r>
            <w:r>
              <w:rPr>
                <w:rFonts w:hint="eastAsia" w:ascii="宋体" w:hAnsi="宋体" w:cs="宋体"/>
                <w:b/>
                <w:bCs/>
                <w:spacing w:val="-6"/>
                <w:sz w:val="24"/>
                <w:szCs w:val="24"/>
                <w:lang w:val="en-US" w:eastAsia="zh-CN"/>
                <w14:ligatures w14:val="standardContextual"/>
              </w:rPr>
              <w:t xml:space="preserve">2</w:t>
            </w:r>
            <w:r>
              <w:rPr>
                <w:rFonts w:hint="eastAsia" w:ascii="宋体" w:hAnsi="宋体" w:cs="宋体"/>
                <w:b/>
                <w:bCs/>
                <w:spacing w:val="-6"/>
                <w:sz w:val="24"/>
                <w:szCs w:val="24"/>
                <w14:ligatures w14:val="standardContextual"/>
              </w:rPr>
              <w:t xml:space="preserve">分；</w:t>
            </w:r>
            <w:r>
              <w:rPr>
                <w:rFonts w:hint="eastAsia" w:ascii="宋体" w:hAnsi="宋体" w:cs="宋体"/>
                <w:b/>
                <w:bCs/>
                <w:spacing w:val="-6"/>
                <w:sz w:val="24"/>
                <w:szCs w:val="24"/>
                <w:lang w:eastAsia="zh-CN"/>
                <w14:ligatures w14:val="standardContextual"/>
              </w:rPr>
              <w:t xml:space="preserve">其他</w:t>
            </w:r>
            <w:r>
              <w:rPr>
                <w:rFonts w:hint="eastAsia" w:ascii="宋体" w:hAnsi="宋体" w:cs="宋体"/>
                <w:b/>
                <w:bCs/>
                <w:spacing w:val="-6"/>
                <w:sz w:val="24"/>
                <w:szCs w:val="24"/>
                <w14:ligatures w14:val="standardContextual"/>
              </w:rPr>
              <w:t xml:space="preserve">参数</w:t>
            </w:r>
            <w:r>
              <w:rPr>
                <w:rFonts w:hint="eastAsia" w:ascii="宋体" w:hAnsi="宋体" w:cs="宋体"/>
                <w:b/>
                <w:bCs/>
                <w:spacing w:val="-6"/>
                <w:sz w:val="24"/>
                <w:szCs w:val="24"/>
                <w:lang w:eastAsia="zh-CN"/>
                <w14:ligatures w14:val="standardContextual"/>
              </w:rPr>
              <w:t xml:space="preserve">（</w:t>
            </w:r>
            <w:r>
              <w:rPr>
                <w:rFonts w:hint="eastAsia" w:ascii="宋体" w:hAnsi="宋体" w:cs="宋体"/>
                <w:b/>
                <w:bCs/>
                <w:spacing w:val="-6"/>
                <w:sz w:val="24"/>
                <w:szCs w:val="24"/>
                <w14:ligatures w14:val="standardContextual"/>
              </w:rPr>
              <w:t xml:space="preserve">不含绿色产品认证），每有1项负偏离扣</w:t>
            </w:r>
            <w:r>
              <w:rPr>
                <w:rFonts w:hint="eastAsia" w:ascii="宋体" w:hAnsi="宋体" w:cs="宋体"/>
                <w:b/>
                <w:bCs/>
                <w:spacing w:val="-6"/>
                <w:sz w:val="24"/>
                <w:szCs w:val="24"/>
                <w:lang w:val="en-US" w:eastAsia="zh-CN"/>
                <w14:ligatures w14:val="standardContextual"/>
              </w:rPr>
              <w:t xml:space="preserve">1</w:t>
            </w:r>
            <w:r>
              <w:rPr>
                <w:rFonts w:hint="eastAsia" w:ascii="宋体" w:hAnsi="宋体" w:cs="宋体"/>
                <w:b/>
                <w:bCs/>
                <w:spacing w:val="-6"/>
                <w:sz w:val="24"/>
                <w:szCs w:val="24"/>
                <w14:ligatures w14:val="standardContextual"/>
              </w:rPr>
              <w:t xml:space="preserve">分，扣完为止；</w:t>
            </w:r>
            <w:r/>
          </w:p>
          <w:p>
            <w:pPr>
              <w:jc w:val="left"/>
              <w:rPr>
                <w:rFonts w:hint="eastAsia" w:ascii="宋体" w:hAnsi="宋体" w:cs="宋体"/>
                <w:sz w:val="24"/>
                <w:szCs w:val="24"/>
                <w14:ligatures w14:val="standardContextual"/>
              </w:rPr>
            </w:pPr>
            <w:r>
              <w:rPr>
                <w:rFonts w:hint="eastAsia" w:ascii="宋体" w:hAnsi="宋体" w:cs="宋体"/>
                <w:b/>
                <w:bCs/>
                <w:spacing w:val="-6"/>
                <w:sz w:val="24"/>
                <w:szCs w:val="24"/>
                <w14:ligatures w14:val="standardContextual"/>
              </w:rPr>
              <w:t xml:space="preserve">（3）文件中相关条款要求评标现场提供证明材料的，以证明材料为准，未要求提供证明材料的，以响应偏离表为准。投标人应如实逐项标明偏离情况，并在响应偏离表内注明证明材料所在页码。</w:t>
            </w:r>
            <w:r/>
          </w:p>
        </w:tc>
      </w:tr>
      <w:tr>
        <w:trPr>
          <w:jc w:val="center"/>
          <w:trHeight w:val="1731"/>
        </w:trPr>
        <w:tc>
          <w:tcPr>
            <w:tcW w:w="557"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3</w:t>
            </w:r>
            <w:r/>
          </w:p>
        </w:tc>
        <w:tc>
          <w:tcPr>
            <w:tcW w:w="1258"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项目理解和技术方案</w:t>
            </w:r>
            <w:r/>
          </w:p>
        </w:tc>
        <w:tc>
          <w:tcPr>
            <w:tcW w:w="719" w:type="dxa"/>
            <w:vAlign w:val="center"/>
            <w:textDirection w:val="lrTb"/>
            <w:noWrap w:val="false"/>
          </w:tcPr>
          <w:p>
            <w:pPr>
              <w:jc w:val="cente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5</w:t>
            </w:r>
            <w:r/>
          </w:p>
        </w:tc>
        <w:tc>
          <w:tcPr>
            <w:tcW w:w="7408" w:type="dxa"/>
            <w:vAlign w:val="center"/>
            <w:textDirection w:val="lrTb"/>
            <w:noWrap w:val="false"/>
          </w:tcPr>
          <w:p>
            <w:pPr>
              <w:jc w:val="left"/>
              <w:rPr>
                <w:rFonts w:hint="eastAsia" w:ascii="宋体" w:hAnsi="宋体" w:cs="宋体"/>
                <w:b/>
                <w:bCs/>
                <w:spacing w:val="-6"/>
                <w:sz w:val="24"/>
                <w:szCs w:val="24"/>
                <w14:ligatures w14:val="standardContextual"/>
              </w:rPr>
            </w:pPr>
            <w:r>
              <w:rPr>
                <w:rFonts w:hint="eastAsia" w:ascii="宋体" w:hAnsi="宋体" w:cs="宋体"/>
                <w:b/>
                <w:bCs/>
                <w:spacing w:val="-6"/>
                <w:sz w:val="24"/>
                <w:szCs w:val="24"/>
                <w14:ligatures w14:val="standardContextual"/>
              </w:rPr>
              <w:t xml:space="preserve">根据投标人对</w:t>
            </w:r>
            <w:r>
              <w:rPr>
                <w:rFonts w:hint="eastAsia" w:ascii="宋体" w:hAnsi="宋体" w:cs="宋体"/>
                <w:b/>
                <w:bCs/>
                <w:spacing w:val="-6"/>
                <w:sz w:val="24"/>
                <w:szCs w:val="24"/>
                <w:highlight w:val="none"/>
                <w14:ligatures w14:val="standardContextual"/>
              </w:rPr>
              <w:t xml:space="preserve">项目政策、背景、功能等的理解、</w:t>
            </w:r>
            <w:r>
              <w:rPr>
                <w:rFonts w:hint="eastAsia" w:ascii="宋体" w:hAnsi="宋体" w:cs="宋体"/>
                <w:b/>
                <w:bCs/>
                <w:spacing w:val="-6"/>
                <w:sz w:val="24"/>
                <w:szCs w:val="24"/>
                <w14:ligatures w14:val="standardContextual"/>
              </w:rPr>
              <w:t xml:space="preserve">技术方案总体设计、组成板块、功能设计、产品选型等情况进行评价打分，共5分；</w:t>
            </w:r>
            <w:r/>
          </w:p>
          <w:p>
            <w:pPr>
              <w:jc w:val="left"/>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（1）项目理解透彻，技术方案与功能设计科学合理、安全严密，条理清晰完善，重点突出，专业性强；产品选型合理专业的；得5分；</w:t>
            </w:r>
            <w:r/>
          </w:p>
          <w:p>
            <w:pPr>
              <w:jc w:val="left"/>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（2）项目理解透彻，技术方案与功能设计科学合理、安全可行，具有一定条理性与专业性；产品选型基本合理可行的；得3分；</w:t>
            </w:r>
            <w:r/>
          </w:p>
          <w:p>
            <w:pPr>
              <w:jc w:val="left"/>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（3）项目理解不够透彻、技术方案与功能设计不够合理，可操作性不强，产品选型不够合理的；得1分。</w:t>
            </w:r>
            <w:r/>
          </w:p>
          <w:p>
            <w:pPr>
              <w:spacing w:line="200" w:lineRule="atLeast"/>
              <w:rPr>
                <w:rFonts w:ascii="宋体" w:hAnsi="Courier New"/>
                <w:color w:val="000000"/>
                <w:spacing w:val="-4"/>
                <w14:ligatures w14:val="standardContextual"/>
              </w:rPr>
            </w:pPr>
            <w:r>
              <w:rPr>
                <w:rFonts w:hint="eastAsia" w:ascii="宋体" w:hAnsi="宋体" w:cs="宋体"/>
                <w:spacing w:val="-6"/>
                <w:sz w:val="24"/>
                <w:szCs w:val="24"/>
                <w14:ligatures w14:val="standardContextual"/>
              </w:rPr>
              <w:t xml:space="preserve">（4）无内容不得分。</w:t>
            </w:r>
            <w:r/>
          </w:p>
        </w:tc>
      </w:tr>
      <w:tr>
        <w:trPr>
          <w:jc w:val="center"/>
          <w:trHeight w:val="90"/>
        </w:trPr>
        <w:tc>
          <w:tcPr>
            <w:tcW w:w="557"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4</w:t>
            </w:r>
            <w:r/>
          </w:p>
        </w:tc>
        <w:tc>
          <w:tcPr>
            <w:tcW w:w="1258"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规划设计方案</w:t>
            </w:r>
            <w:r/>
          </w:p>
        </w:tc>
        <w:tc>
          <w:tcPr>
            <w:tcW w:w="719"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10</w:t>
            </w:r>
            <w:r/>
          </w:p>
        </w:tc>
        <w:tc>
          <w:tcPr>
            <w:tcW w:w="7408" w:type="dxa"/>
            <w:vAlign w:val="center"/>
            <w:textDirection w:val="lrTb"/>
            <w:noWrap w:val="false"/>
          </w:tcPr>
          <w:p>
            <w:pPr>
              <w:rPr>
                <w:rFonts w:hint="eastAsia" w:ascii="宋体" w:hAnsi="宋体" w:cs="宋体"/>
                <w:b/>
                <w:bCs/>
                <w:sz w:val="24"/>
                <w:szCs w:val="24"/>
                <w14:ligatures w14:val="standardContextual"/>
              </w:rPr>
            </w:pPr>
            <w:r>
              <w:rPr>
                <w:rFonts w:hint="eastAsia" w:ascii="宋体" w:hAnsi="宋体" w:cs="宋体"/>
                <w:b/>
                <w:bCs/>
                <w:sz w:val="24"/>
                <w:szCs w:val="24"/>
                <w14:ligatures w14:val="standardContextual"/>
              </w:rPr>
              <w:t xml:space="preserve">1.投标人针对本项目的建设场地进行规划布局，评委会根据投标人提供的布局设计图进行打分，共5分；</w:t>
            </w:r>
            <w:r/>
          </w:p>
          <w:p>
            <w:pP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（1）布局规划科学合理，结合实际，可行性高的；得5分；</w:t>
            </w:r>
            <w:r/>
          </w:p>
          <w:p>
            <w:pP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（2）布局规划基本合理，优化后能满足使用需求，有一定可行性的；得3分；</w:t>
            </w:r>
            <w:r/>
          </w:p>
          <w:p>
            <w:pP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（3）布局规划不够科学合理，未结合实际使用需求，可行性不高的；得1分。</w:t>
            </w:r>
            <w:r/>
          </w:p>
          <w:p>
            <w:pPr>
              <w:rPr>
                <w:rFonts w:hint="eastAsia" w:ascii="宋体" w:hAnsi="宋体" w:cs="宋体"/>
                <w:spacing w:val="-6"/>
                <w:sz w:val="24"/>
                <w:szCs w:val="24"/>
                <w:highlight w:val="none"/>
                <w14:ligatures w14:val="standardContextual"/>
              </w:rPr>
            </w:pPr>
            <w:r>
              <w:rPr>
                <w:rFonts w:hint="eastAsia" w:ascii="等线" w:hAnsi="宋体" w:cs="宋体"/>
                <w:spacing w:val="-6"/>
                <w:sz w:val="24"/>
                <w:szCs w:val="24"/>
                <w14:ligatures w14:val="standardContextual"/>
              </w:rPr>
              <w:t xml:space="preserve">（4）无内容不得分。</w:t>
            </w:r>
            <w:r/>
          </w:p>
          <w:p>
            <w:pPr>
              <w:jc w:val="left"/>
              <w:spacing w:after="120"/>
              <w:rPr>
                <w:rFonts w:hint="eastAsia" w:ascii="宋体" w:hAnsi="宋体" w:cs="宋体"/>
                <w:b/>
                <w:bCs/>
                <w:sz w:val="24"/>
                <w:szCs w:val="24"/>
                <w:highlight w:val="none"/>
                <w14:ligatures w14:val="standardContextual"/>
              </w:rPr>
            </w:pPr>
            <w:r>
              <w:rPr>
                <w:rFonts w:hint="eastAsia" w:ascii="宋体" w:hAnsi="宋体" w:cs="宋体"/>
                <w:b/>
                <w:bCs/>
                <w:sz w:val="24"/>
                <w:szCs w:val="24"/>
                <w:highlight w:val="none"/>
                <w14:ligatures w14:val="standardContextual"/>
              </w:rPr>
              <w:t xml:space="preserve">2.投标人针对本</w:t>
            </w:r>
            <w:r>
              <w:rPr>
                <w:rFonts w:hint="eastAsia" w:ascii="宋体" w:hAnsi="宋体" w:cs="宋体"/>
                <w:b/>
                <w:bCs/>
                <w:sz w:val="24"/>
                <w:szCs w:val="24"/>
                <w:highlight w:val="none"/>
                <w:lang w:eastAsia="zh-CN"/>
                <w14:ligatures w14:val="standardContextual"/>
              </w:rPr>
              <w:t xml:space="preserve">项目</w:t>
            </w:r>
            <w:r>
              <w:rPr>
                <w:rFonts w:hint="eastAsia" w:ascii="宋体" w:hAnsi="宋体" w:cs="宋体"/>
                <w:b/>
                <w:bCs/>
                <w:sz w:val="24"/>
                <w:szCs w:val="24"/>
                <w:highlight w:val="none"/>
                <w14:ligatures w14:val="standardContextual"/>
              </w:rPr>
              <w:t xml:space="preserve">建设的各功能场所进行规划设计，评委会根据投标人提供的各功能室效果图</w:t>
            </w:r>
            <w:r>
              <w:rPr>
                <w:rFonts w:hint="eastAsia" w:ascii="宋体" w:hAnsi="宋体" w:cs="宋体"/>
                <w:spacing w:val="-6"/>
                <w:sz w:val="24"/>
                <w:szCs w:val="24"/>
                <w:highlight w:val="none"/>
                <w14:ligatures w14:val="standardContextual"/>
              </w:rPr>
              <w:t xml:space="preserve">（</w:t>
            </w:r>
            <w:r>
              <w:rPr>
                <w:rFonts w:hint="eastAsia" w:ascii="宋体" w:hAnsi="宋体" w:cs="宋体"/>
                <w:spacing w:val="-6"/>
                <w:sz w:val="24"/>
                <w:szCs w:val="24"/>
                <w:highlight w:val="none"/>
                <w:lang w:eastAsia="zh-CN"/>
                <w14:ligatures w14:val="standardContextual"/>
              </w:rPr>
              <w:t xml:space="preserve">包括但不限于</w:t>
            </w:r>
            <w:r>
              <w:rPr>
                <w:rFonts w:hint="eastAsia" w:ascii="宋体" w:hAnsi="宋体" w:cs="宋体"/>
                <w:spacing w:val="-6"/>
                <w:sz w:val="24"/>
                <w:szCs w:val="24"/>
                <w:highlight w:val="none"/>
                <w14:ligatures w14:val="standardContextual"/>
              </w:rPr>
              <w:t xml:space="preserve">色调风格搭配等）</w:t>
            </w:r>
            <w:r>
              <w:rPr>
                <w:rFonts w:hint="eastAsia" w:ascii="宋体" w:hAnsi="宋体" w:cs="宋体"/>
                <w:b/>
                <w:bCs/>
                <w:sz w:val="24"/>
                <w:szCs w:val="24"/>
                <w:highlight w:val="none"/>
                <w14:ligatures w14:val="standardContextual"/>
              </w:rPr>
              <w:t xml:space="preserve">进行打分，共5分；</w:t>
            </w:r>
            <w:r/>
          </w:p>
          <w:p>
            <w:pP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（1）效果科学合理，能很好地匹配实际使用需求，可行性非常高的；得5分；</w:t>
            </w:r>
            <w:r/>
          </w:p>
          <w:p>
            <w:pPr>
              <w:rPr>
                <w:rFonts w:hint="eastAsia" w:ascii="宋体" w:hAnsi="宋体" w:cs="宋体"/>
                <w:spacing w:val="-6"/>
                <w:sz w:val="24"/>
                <w:szCs w:val="24"/>
                <w14:ligatures w14:val="standardContextual"/>
              </w:rPr>
            </w:pPr>
            <w:r>
              <w:rPr>
                <w:rFonts w:hint="eastAsia" w:ascii="宋体" w:hAnsi="宋体" w:cs="宋体"/>
                <w:spacing w:val="-6"/>
                <w:sz w:val="24"/>
                <w:szCs w:val="24"/>
                <w:highlight w:val="none"/>
                <w14:ligatures w14:val="standardContextual"/>
              </w:rPr>
              <w:t xml:space="preserve">（2）效果基本合理，能匹配实际使用需求，可行性较高的；</w:t>
            </w:r>
            <w:r>
              <w:rPr>
                <w:rFonts w:hint="eastAsia" w:ascii="宋体" w:hAnsi="宋体" w:cs="宋体"/>
                <w:spacing w:val="-6"/>
                <w:sz w:val="24"/>
                <w:szCs w:val="24"/>
                <w14:ligatures w14:val="standardContextual"/>
              </w:rPr>
              <w:t xml:space="preserve">得3分；</w:t>
            </w:r>
            <w:r/>
          </w:p>
          <w:p>
            <w:pP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（3）效果不够科学合理，不能很好地匹配实际使用需求，可行性不高的；得1分。</w:t>
            </w:r>
            <w:r/>
          </w:p>
          <w:p>
            <w:pPr>
              <w:rPr>
                <w:rFonts w:hint="eastAsia" w:ascii="宋体" w:hAnsi="宋体" w:cs="宋体"/>
                <w:spacing w:val="-6"/>
                <w:sz w:val="24"/>
                <w:szCs w:val="24"/>
                <w14:ligatures w14:val="standardContextual"/>
              </w:rPr>
            </w:pPr>
            <w:r>
              <w:rPr>
                <w:rFonts w:hint="eastAsia" w:ascii="等线" w:hAnsi="宋体" w:cs="宋体"/>
                <w:spacing w:val="-6"/>
                <w:sz w:val="24"/>
                <w:szCs w:val="24"/>
                <w14:ligatures w14:val="standardContextual"/>
              </w:rPr>
              <w:t xml:space="preserve">（4）无内容不得分。</w:t>
            </w:r>
            <w:r/>
          </w:p>
        </w:tc>
      </w:tr>
      <w:tr>
        <w:trPr>
          <w:jc w:val="center"/>
          <w:trHeight w:val="454"/>
        </w:trPr>
        <w:tc>
          <w:tcPr>
            <w:tcW w:w="557"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5</w:t>
            </w:r>
            <w:r/>
          </w:p>
        </w:tc>
        <w:tc>
          <w:tcPr>
            <w:tcW w:w="1258"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项目实施方案</w:t>
            </w:r>
            <w:r/>
          </w:p>
        </w:tc>
        <w:tc>
          <w:tcPr>
            <w:tcW w:w="719" w:type="dxa"/>
            <w:vAlign w:val="center"/>
            <w:textDirection w:val="lrTb"/>
            <w:noWrap w:val="false"/>
          </w:tcPr>
          <w:p>
            <w:pPr>
              <w:jc w:val="cente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5</w:t>
            </w:r>
            <w:r/>
          </w:p>
        </w:tc>
        <w:tc>
          <w:tcPr>
            <w:tcW w:w="7408" w:type="dxa"/>
            <w:vAlign w:val="center"/>
            <w:textDirection w:val="lrTb"/>
            <w:noWrap w:val="false"/>
          </w:tcPr>
          <w:p>
            <w:pPr>
              <w:rPr>
                <w:rFonts w:hint="eastAsia" w:ascii="宋体" w:hAnsi="宋体" w:cs="宋体"/>
                <w:b/>
                <w:bCs/>
                <w:sz w:val="24"/>
                <w:szCs w:val="24"/>
                <w14:ligatures w14:val="standardContextual"/>
              </w:rPr>
            </w:pPr>
            <w:r>
              <w:rPr>
                <w:rFonts w:hint="eastAsia" w:ascii="宋体" w:hAnsi="宋体" w:cs="宋体"/>
                <w:b/>
                <w:bCs/>
                <w:sz w:val="24"/>
                <w:szCs w:val="24"/>
                <w14:ligatures w14:val="standardContextual"/>
              </w:rPr>
              <w:t xml:space="preserve">根据投标</w:t>
            </w:r>
            <w:r>
              <w:rPr>
                <w:rFonts w:hint="eastAsia" w:ascii="宋体" w:hAnsi="宋体" w:cs="宋体"/>
                <w:b/>
                <w:bCs/>
                <w:sz w:val="24"/>
                <w:szCs w:val="24"/>
                <w:highlight w:val="none"/>
                <w14:ligatures w14:val="standardContextual"/>
              </w:rPr>
              <w:t xml:space="preserve">人</w:t>
            </w:r>
            <w:r>
              <w:rPr>
                <w:rFonts w:hint="eastAsia" w:ascii="宋体" w:hAnsi="宋体" w:cs="宋体"/>
                <w:b/>
                <w:bCs/>
                <w:sz w:val="24"/>
                <w:szCs w:val="24"/>
                <w:highlight w:val="none"/>
                <w:lang w:val="en-US" w:eastAsia="zh-CN"/>
                <w14:ligatures w14:val="standardContextual"/>
              </w:rPr>
              <w:t xml:space="preserve">针对本项目</w:t>
            </w:r>
            <w:r>
              <w:rPr>
                <w:rFonts w:hint="eastAsia" w:ascii="宋体" w:hAnsi="宋体" w:cs="宋体"/>
                <w:b/>
                <w:bCs/>
                <w:sz w:val="24"/>
                <w:szCs w:val="24"/>
                <w:highlight w:val="none"/>
                <w14:ligatures w14:val="standardContextual"/>
              </w:rPr>
              <w:t xml:space="preserve">提供的实施方案包括但不限于总体方案、供货计划、组织实施、</w:t>
            </w:r>
            <w:r>
              <w:rPr>
                <w:rFonts w:hint="eastAsia" w:ascii="宋体" w:hAnsi="宋体" w:cs="宋体"/>
                <w:b/>
                <w:bCs/>
                <w:spacing w:val="-6"/>
                <w:sz w:val="24"/>
                <w:szCs w:val="24"/>
                <w:highlight w:val="none"/>
                <w14:ligatures w14:val="standardContextual"/>
              </w:rPr>
              <w:t xml:space="preserve">培训</w:t>
            </w:r>
            <w:r>
              <w:rPr>
                <w:rFonts w:hint="eastAsia" w:ascii="宋体" w:hAnsi="宋体" w:cs="宋体"/>
                <w:b/>
                <w:bCs/>
                <w:sz w:val="24"/>
                <w:szCs w:val="24"/>
                <w:highlight w:val="none"/>
                <w14:ligatures w14:val="standardContextual"/>
              </w:rPr>
              <w:t xml:space="preserve">方案等进</w:t>
            </w:r>
            <w:r>
              <w:rPr>
                <w:rFonts w:hint="eastAsia" w:ascii="宋体" w:hAnsi="宋体" w:cs="宋体"/>
                <w:b/>
                <w:bCs/>
                <w:sz w:val="24"/>
                <w:szCs w:val="24"/>
                <w14:ligatures w14:val="standardContextual"/>
              </w:rPr>
              <w:t xml:space="preserve">行打分</w:t>
            </w:r>
            <w:r>
              <w:rPr>
                <w:rFonts w:hint="eastAsia" w:ascii="宋体" w:hAnsi="宋体" w:cs="宋体"/>
                <w:b/>
                <w:bCs/>
                <w:sz w:val="24"/>
                <w:szCs w:val="24"/>
                <w:lang w:eastAsia="zh-CN"/>
                <w14:ligatures w14:val="standardContextual"/>
              </w:rPr>
              <w:t xml:space="preserve">。</w:t>
            </w:r>
            <w:r>
              <w:rPr>
                <w:rFonts w:hint="eastAsia" w:ascii="宋体" w:hAnsi="宋体" w:cs="宋体"/>
                <w:b/>
                <w:bCs/>
                <w:sz w:val="24"/>
                <w:szCs w:val="24"/>
                <w14:ligatures w14:val="standardContextual"/>
              </w:rPr>
              <w:t xml:space="preserve">共5分；</w:t>
            </w:r>
            <w:r/>
          </w:p>
          <w:p>
            <w:pP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（1）方案科学合理、安全严密、条理清晰完善、重点突出、专业</w:t>
            </w:r>
            <w:r>
              <w:rPr>
                <w:rFonts w:hint="eastAsia" w:ascii="宋体" w:hAnsi="宋体" w:cs="宋体"/>
                <w:spacing w:val="-6"/>
                <w:sz w:val="24"/>
                <w:szCs w:val="24"/>
                <w:lang w:eastAsia="zh-CN"/>
                <w14:ligatures w14:val="standardContextual"/>
              </w:rPr>
              <w:t xml:space="preserve">性和</w:t>
            </w:r>
            <w:r>
              <w:rPr>
                <w:rFonts w:hint="eastAsia" w:ascii="宋体" w:hAnsi="宋体" w:cs="宋体"/>
                <w:spacing w:val="-6"/>
                <w:sz w:val="24"/>
                <w:szCs w:val="24"/>
                <w14:ligatures w14:val="standardContextual"/>
              </w:rPr>
              <w:t xml:space="preserve">针对性强，优于采购需求得5分；</w:t>
            </w:r>
            <w:r/>
          </w:p>
          <w:p>
            <w:pP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（2）方案合理、安全可行、具有一定条理、基本完善，满足采购需求，得3分；</w:t>
            </w:r>
            <w:r/>
          </w:p>
          <w:p>
            <w:pP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（3）方案复制套用，操作性针对性不强，得1分；</w:t>
            </w:r>
            <w:r/>
          </w:p>
          <w:p>
            <w:pPr>
              <w:rPr>
                <w:rFonts w:hint="eastAsia" w:ascii="宋体" w:hAnsi="宋体" w:cs="宋体"/>
                <w:spacing w:val="-6"/>
                <w:sz w:val="24"/>
                <w:szCs w:val="24"/>
                <w14:ligatures w14:val="standardContextual"/>
              </w:rPr>
            </w:pPr>
            <w:r>
              <w:rPr>
                <w:rFonts w:hint="eastAsia" w:ascii="等线" w:hAnsi="宋体" w:cs="宋体"/>
                <w:spacing w:val="-6"/>
                <w:sz w:val="24"/>
                <w:szCs w:val="24"/>
                <w14:ligatures w14:val="standardContextual"/>
              </w:rPr>
              <w:t xml:space="preserve">（4）无内容不得分。</w:t>
            </w:r>
            <w:r/>
          </w:p>
        </w:tc>
      </w:tr>
      <w:tr>
        <w:trPr>
          <w:jc w:val="center"/>
          <w:trHeight w:val="2016"/>
        </w:trPr>
        <w:tc>
          <w:tcPr>
            <w:tcW w:w="557"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6</w:t>
            </w:r>
            <w:r/>
          </w:p>
        </w:tc>
        <w:tc>
          <w:tcPr>
            <w:tcW w:w="1258"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保障措施方案</w:t>
            </w:r>
            <w:r/>
          </w:p>
        </w:tc>
        <w:tc>
          <w:tcPr>
            <w:tcW w:w="719" w:type="dxa"/>
            <w:vAlign w:val="center"/>
            <w:textDirection w:val="lrTb"/>
            <w:noWrap w:val="false"/>
          </w:tcPr>
          <w:p>
            <w:pPr>
              <w:jc w:val="cente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5</w:t>
            </w:r>
            <w:r/>
          </w:p>
        </w:tc>
        <w:tc>
          <w:tcPr>
            <w:tcW w:w="7408" w:type="dxa"/>
            <w:vAlign w:val="center"/>
            <w:textDirection w:val="lrTb"/>
            <w:noWrap w:val="false"/>
          </w:tcPr>
          <w:p>
            <w:pPr>
              <w:spacing w:line="200" w:lineRule="atLeast"/>
              <w:rPr>
                <w:rFonts w:hint="eastAsia" w:ascii="宋体" w:hAnsi="宋体" w:cs="宋体"/>
                <w:b/>
                <w:bCs/>
                <w:sz w:val="24"/>
                <w:szCs w:val="24"/>
                <w:highlight w:val="none"/>
                <w14:ligatures w14:val="standardContextual"/>
              </w:rPr>
            </w:pPr>
            <w:r>
              <w:rPr>
                <w:rFonts w:hint="eastAsia" w:ascii="宋体" w:hAnsi="宋体" w:cs="宋体"/>
                <w:b/>
                <w:bCs/>
                <w:sz w:val="24"/>
                <w:szCs w:val="24"/>
                <w:highlight w:val="none"/>
                <w14:ligatures w14:val="standardContextual"/>
              </w:rPr>
              <w:t xml:space="preserve">根据投标人</w:t>
            </w:r>
            <w:r>
              <w:rPr>
                <w:rFonts w:hint="eastAsia" w:ascii="宋体" w:hAnsi="宋体" w:cs="宋体"/>
                <w:b/>
                <w:bCs/>
                <w:sz w:val="24"/>
                <w:szCs w:val="24"/>
                <w:highlight w:val="none"/>
                <w:lang w:val="en-US" w:eastAsia="zh-CN"/>
                <w14:ligatures w14:val="standardContextual"/>
              </w:rPr>
              <w:t xml:space="preserve">针对本项目</w:t>
            </w:r>
            <w:r>
              <w:rPr>
                <w:rFonts w:hint="eastAsia" w:ascii="宋体" w:hAnsi="宋体" w:cs="宋体"/>
                <w:b/>
                <w:bCs/>
                <w:sz w:val="24"/>
                <w:szCs w:val="24"/>
                <w:highlight w:val="none"/>
                <w14:ligatures w14:val="standardContextual"/>
              </w:rPr>
              <w:t xml:space="preserve">提供的保障措施包括但不限于人员配置与保障、工期保障、质量保障以及安装调试与系统集成能力及方案等进行打分。共5分</w:t>
            </w:r>
            <w:r/>
          </w:p>
          <w:p>
            <w:pPr>
              <w:rPr>
                <w:rFonts w:hint="eastAsia" w:ascii="宋体" w:hAnsi="宋体" w:cs="宋体"/>
                <w:spacing w:val="-6"/>
                <w:sz w:val="24"/>
                <w:szCs w:val="24"/>
                <w:highlight w:val="none"/>
                <w14:ligatures w14:val="standardContextual"/>
              </w:rPr>
            </w:pPr>
            <w:r>
              <w:rPr>
                <w:rFonts w:hint="eastAsia" w:ascii="宋体" w:hAnsi="宋体" w:cs="宋体"/>
                <w:spacing w:val="-6"/>
                <w:sz w:val="24"/>
                <w:szCs w:val="24"/>
                <w14:ligatures w14:val="standardContextual"/>
              </w:rPr>
              <w:t xml:space="preserve">（</w:t>
            </w:r>
            <w:r>
              <w:rPr>
                <w:rFonts w:hint="eastAsia" w:ascii="宋体" w:hAnsi="宋体" w:cs="宋体"/>
                <w:spacing w:val="-6"/>
                <w:sz w:val="24"/>
                <w:szCs w:val="24"/>
                <w:highlight w:val="none"/>
                <w14:ligatures w14:val="standardContextual"/>
              </w:rPr>
              <w:t xml:space="preserve">1）措施方案贴合项目实际，全面完善、合理、可行性强的得5分；</w:t>
            </w:r>
            <w:r/>
          </w:p>
          <w:p>
            <w:pP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（2）措施方案基本完善、合理、具有一定可行性的得3分；</w:t>
            </w:r>
            <w:r/>
          </w:p>
          <w:p>
            <w:pP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（3）措施方案套用复制，可行性针对性不强的得1分。</w:t>
            </w:r>
            <w:r/>
          </w:p>
          <w:p>
            <w:pPr>
              <w:spacing w:line="200" w:lineRule="atLeast"/>
              <w:rPr>
                <w:rFonts w:hint="eastAsia" w:ascii="宋体" w:hAnsi="宋体" w:cs="宋体"/>
                <w:spacing w:val="-4"/>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（4）无内容不得分。</w:t>
            </w:r>
            <w:r/>
          </w:p>
        </w:tc>
      </w:tr>
      <w:tr>
        <w:trPr>
          <w:jc w:val="center"/>
          <w:trHeight w:val="454"/>
        </w:trPr>
        <w:tc>
          <w:tcPr>
            <w:tcW w:w="557"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7</w:t>
            </w:r>
            <w:r/>
          </w:p>
        </w:tc>
        <w:tc>
          <w:tcPr>
            <w:tcW w:w="1258"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安全和应急方案</w:t>
            </w:r>
            <w:r/>
          </w:p>
        </w:tc>
        <w:tc>
          <w:tcPr>
            <w:tcW w:w="719" w:type="dxa"/>
            <w:vAlign w:val="center"/>
            <w:textDirection w:val="lrTb"/>
            <w:noWrap w:val="false"/>
          </w:tcPr>
          <w:p>
            <w:pPr>
              <w:jc w:val="cente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5</w:t>
            </w:r>
            <w:r/>
          </w:p>
        </w:tc>
        <w:tc>
          <w:tcPr>
            <w:tcW w:w="7408" w:type="dxa"/>
            <w:vAlign w:val="center"/>
            <w:textDirection w:val="lrTb"/>
            <w:noWrap w:val="false"/>
          </w:tcPr>
          <w:p>
            <w:pPr>
              <w:rPr>
                <w:rFonts w:hint="eastAsia" w:ascii="宋体" w:hAnsi="宋体" w:cs="宋体"/>
                <w:b/>
                <w:bCs/>
                <w:spacing w:val="-6"/>
                <w:sz w:val="24"/>
                <w:szCs w:val="24"/>
                <w:highlight w:val="none"/>
                <w14:ligatures w14:val="standardContextual"/>
              </w:rPr>
            </w:pPr>
            <w:r>
              <w:rPr>
                <w:rFonts w:hint="eastAsia" w:ascii="宋体" w:hAnsi="宋体" w:cs="宋体"/>
                <w:b/>
                <w:bCs/>
                <w:spacing w:val="-6"/>
                <w:sz w:val="24"/>
                <w:szCs w:val="24"/>
                <w:highlight w:val="none"/>
                <w14:ligatures w14:val="standardContextual"/>
              </w:rPr>
              <w:t xml:space="preserve">根据投标人</w:t>
            </w:r>
            <w:r>
              <w:rPr>
                <w:rFonts w:hint="eastAsia" w:ascii="宋体" w:hAnsi="宋体" w:cs="宋体"/>
                <w:b/>
                <w:bCs/>
                <w:sz w:val="24"/>
                <w:szCs w:val="24"/>
                <w:highlight w:val="none"/>
                <w:lang w:val="en-US" w:eastAsia="zh-CN"/>
                <w14:ligatures w14:val="standardContextual"/>
              </w:rPr>
              <w:t xml:space="preserve">针对本项目</w:t>
            </w:r>
            <w:r>
              <w:rPr>
                <w:rFonts w:hint="eastAsia" w:ascii="宋体" w:hAnsi="宋体" w:cs="宋体"/>
                <w:b/>
                <w:bCs/>
                <w:spacing w:val="-6"/>
                <w:sz w:val="24"/>
                <w:szCs w:val="24"/>
                <w:highlight w:val="none"/>
                <w14:ligatures w14:val="standardContextual"/>
              </w:rPr>
              <w:t xml:space="preserve">提供的安全管理和应急方案（包括但不限于应急管理制度、安全管理制度、突发事件、灾害、迎检观摩等情况）进行评价打分，共5分；</w:t>
            </w:r>
            <w:r/>
          </w:p>
          <w:p>
            <w:pPr>
              <w:rPr>
                <w:rFonts w:hint="eastAsia" w:ascii="宋体" w:hAnsi="宋体" w:cs="宋体"/>
                <w:spacing w:val="-6"/>
                <w:sz w:val="24"/>
                <w:szCs w:val="24"/>
                <w:highlight w:val="none"/>
                <w14:ligatures w14:val="standardContextual"/>
              </w:rPr>
            </w:pPr>
            <w:r>
              <w:rPr>
                <w:rFonts w:hint="eastAsia" w:ascii="宋体" w:hAnsi="宋体" w:cs="宋体"/>
                <w:spacing w:val="-6"/>
                <w:sz w:val="24"/>
                <w:szCs w:val="24"/>
                <w14:ligatures w14:val="standardContextual"/>
              </w:rPr>
              <w:t xml:space="preserve">（</w:t>
            </w:r>
            <w:r>
              <w:rPr>
                <w:rFonts w:hint="eastAsia" w:ascii="宋体" w:hAnsi="宋体" w:cs="宋体"/>
                <w:spacing w:val="-6"/>
                <w:sz w:val="24"/>
                <w:szCs w:val="24"/>
                <w:highlight w:val="none"/>
                <w14:ligatures w14:val="standardContextual"/>
              </w:rPr>
              <w:t xml:space="preserve">1）方案贴合项目实际，全面完善、合理、可行性强的得5分；</w:t>
            </w:r>
            <w:r/>
          </w:p>
          <w:p>
            <w:pP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（2）方案基本完善、合理、具有一定可行性的得3分；</w:t>
            </w:r>
            <w:r/>
          </w:p>
          <w:p>
            <w:pP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（3）方案简单套用复制，可行性不强的得1分。</w:t>
            </w:r>
            <w:r/>
          </w:p>
          <w:p>
            <w:pPr>
              <w:spacing w:line="200" w:lineRule="atLeast"/>
              <w:rPr>
                <w:rFonts w:ascii="宋体" w:hAnsi="Courier New" w:eastAsia="等线"/>
                <w:color w:val="000000"/>
                <w:spacing w:val="-4"/>
                <w:highlight w:val="none"/>
                <w14:ligatures w14:val="standardContextual"/>
              </w:rPr>
            </w:pPr>
            <w:r>
              <w:rPr>
                <w:rFonts w:hint="eastAsia" w:ascii="宋体" w:hAnsi="宋体" w:cs="宋体"/>
                <w:spacing w:val="-6"/>
                <w:sz w:val="24"/>
                <w:szCs w:val="24"/>
                <w:highlight w:val="none"/>
                <w14:ligatures w14:val="standardContextual"/>
              </w:rPr>
              <w:t xml:space="preserve">（4）无内容不得分。</w:t>
            </w:r>
            <w:r/>
          </w:p>
        </w:tc>
      </w:tr>
      <w:tr>
        <w:trPr>
          <w:jc w:val="center"/>
          <w:trHeight w:val="454"/>
        </w:trPr>
        <w:tc>
          <w:tcPr>
            <w:tcW w:w="557"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8</w:t>
            </w:r>
            <w:r/>
          </w:p>
        </w:tc>
        <w:tc>
          <w:tcPr>
            <w:tcW w:w="1258"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售后服务方案</w:t>
            </w:r>
            <w:r/>
          </w:p>
        </w:tc>
        <w:tc>
          <w:tcPr>
            <w:tcW w:w="719" w:type="dxa"/>
            <w:vAlign w:val="center"/>
            <w:textDirection w:val="lrTb"/>
            <w:noWrap w:val="false"/>
          </w:tcPr>
          <w:p>
            <w:pPr>
              <w:jc w:val="cente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5</w:t>
            </w:r>
            <w:r/>
          </w:p>
        </w:tc>
        <w:tc>
          <w:tcPr>
            <w:tcW w:w="7408" w:type="dxa"/>
            <w:vAlign w:val="center"/>
            <w:textDirection w:val="lrTb"/>
            <w:noWrap w:val="false"/>
          </w:tcPr>
          <w:p>
            <w:pPr>
              <w:rPr>
                <w:rFonts w:hint="eastAsia" w:ascii="宋体" w:hAnsi="宋体" w:cs="宋体"/>
                <w:b/>
                <w:bCs/>
                <w:spacing w:val="-6"/>
                <w:sz w:val="24"/>
                <w:szCs w:val="24"/>
                <w:highlight w:val="none"/>
                <w14:ligatures w14:val="standardContextual"/>
              </w:rPr>
            </w:pPr>
            <w:r>
              <w:rPr>
                <w:rFonts w:hint="eastAsia" w:ascii="宋体" w:hAnsi="宋体" w:cs="宋体"/>
                <w:b/>
                <w:bCs/>
                <w:spacing w:val="-6"/>
                <w:sz w:val="24"/>
                <w:szCs w:val="24"/>
                <w:highlight w:val="none"/>
                <w14:ligatures w14:val="standardContextual"/>
              </w:rPr>
              <w:t xml:space="preserve">根据投标人</w:t>
            </w:r>
            <w:r>
              <w:rPr>
                <w:rFonts w:hint="eastAsia" w:ascii="宋体" w:hAnsi="宋体" w:cs="宋体"/>
                <w:b/>
                <w:bCs/>
                <w:sz w:val="24"/>
                <w:szCs w:val="24"/>
                <w:highlight w:val="none"/>
                <w:lang w:val="en-US" w:eastAsia="zh-CN"/>
                <w14:ligatures w14:val="standardContextual"/>
              </w:rPr>
              <w:t xml:space="preserve">针对本项目</w:t>
            </w:r>
            <w:r>
              <w:rPr>
                <w:rFonts w:hint="eastAsia" w:ascii="宋体" w:hAnsi="宋体" w:cs="宋体"/>
                <w:b/>
                <w:bCs/>
                <w:spacing w:val="-6"/>
                <w:sz w:val="24"/>
                <w:szCs w:val="24"/>
                <w:highlight w:val="none"/>
                <w14:ligatures w14:val="standardContextual"/>
              </w:rPr>
              <w:t xml:space="preserve">提供的售后服务方案，包括但不限于质保期、服务内容与措施、服务体系、技术故障响应、服务机构与专业人员配备、备品备件以及附加服务等情况进行评价打分，共5分；</w:t>
            </w:r>
            <w:r/>
          </w:p>
          <w:p>
            <w:pP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（1）方案全面完善、措施合理、针对性强，优于采购需求的得5分；</w:t>
            </w:r>
            <w:r/>
          </w:p>
          <w:p>
            <w:pP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（2）方案完善、措施合理，针对性一般，基本满足采购需求的得3分；</w:t>
            </w:r>
            <w:r/>
          </w:p>
          <w:p>
            <w:pP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（3）方案简单，套用复制，针对性差，不详细、不合理的得1分。</w:t>
            </w:r>
            <w:r/>
          </w:p>
          <w:p>
            <w:pPr>
              <w:spacing w:line="200" w:lineRule="atLeast"/>
              <w:rPr>
                <w:rFonts w:ascii="宋体" w:hAnsi="Courier New" w:eastAsia="等线"/>
                <w:color w:val="000000"/>
                <w:spacing w:val="-4"/>
                <w:highlight w:val="none"/>
                <w14:ligatures w14:val="standardContextual"/>
              </w:rPr>
            </w:pPr>
            <w:r>
              <w:rPr>
                <w:rFonts w:hint="eastAsia" w:ascii="宋体" w:hAnsi="宋体" w:cs="宋体"/>
                <w:spacing w:val="-6"/>
                <w:sz w:val="24"/>
                <w:szCs w:val="24"/>
                <w:highlight w:val="none"/>
                <w14:ligatures w14:val="standardContextual"/>
              </w:rPr>
              <w:t xml:space="preserve">（4）无内容不得分。</w:t>
            </w:r>
            <w:r/>
          </w:p>
        </w:tc>
      </w:tr>
      <w:tr>
        <w:trPr>
          <w:jc w:val="center"/>
          <w:trHeight w:val="454"/>
        </w:trPr>
        <w:tc>
          <w:tcPr>
            <w:tcW w:w="557"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9</w:t>
            </w:r>
            <w:r/>
          </w:p>
        </w:tc>
        <w:tc>
          <w:tcPr>
            <w:tcW w:w="1258"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业绩</w:t>
            </w:r>
            <w:r/>
          </w:p>
        </w:tc>
        <w:tc>
          <w:tcPr>
            <w:tcW w:w="719"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4</w:t>
            </w:r>
            <w:r/>
          </w:p>
        </w:tc>
        <w:tc>
          <w:tcPr>
            <w:tcW w:w="7408" w:type="dxa"/>
            <w:vAlign w:val="center"/>
            <w:textDirection w:val="lrTb"/>
            <w:noWrap w:val="false"/>
          </w:tcPr>
          <w:p>
            <w:pPr>
              <w:rPr>
                <w:rFonts w:hint="eastAsia" w:ascii="宋体" w:hAnsi="宋体" w:cs="宋体"/>
                <w:sz w:val="24"/>
                <w:szCs w:val="24"/>
                <w14:ligatures w14:val="standardContextual"/>
              </w:rPr>
            </w:pPr>
            <w:r>
              <w:rPr>
                <w:rFonts w:hint="eastAsia" w:ascii="宋体" w:hAnsi="宋体" w:cs="宋体"/>
                <w:b/>
                <w:bCs/>
                <w:spacing w:val="-6"/>
                <w:sz w:val="24"/>
                <w:szCs w:val="24"/>
                <w14:ligatures w14:val="standardContextual"/>
              </w:rPr>
              <w:t xml:space="preserve">投标人自2023年1月1日（以合同签订时间为准）以来，承接过类似相关项目业绩（每提供一份得2分，共4分。</w:t>
            </w:r>
            <w:r>
              <w:rPr>
                <w:rFonts w:hint="eastAsia" w:ascii="宋体" w:hAnsi="宋体" w:cs="宋体"/>
                <w:b/>
                <w:bCs/>
                <w:sz w:val="24"/>
                <w:szCs w:val="24"/>
                <w14:ligatures w14:val="standardContextual"/>
              </w:rPr>
              <w:t xml:space="preserve">提供中标通知书＋完整采购合同＋验收报告的扫描件上传至投标文件中，合同主要内容和日期须清晰可见）。</w:t>
            </w:r>
            <w:r/>
          </w:p>
        </w:tc>
      </w:tr>
      <w:tr>
        <w:trPr>
          <w:jc w:val="center"/>
          <w:trHeight w:val="90"/>
        </w:trPr>
        <w:tc>
          <w:tcPr>
            <w:tcW w:w="557"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10</w:t>
            </w:r>
            <w:r/>
          </w:p>
        </w:tc>
        <w:tc>
          <w:tcPr>
            <w:tcW w:w="1258" w:type="dxa"/>
            <w:vAlign w:val="center"/>
            <w:textDirection w:val="lrTb"/>
            <w:noWrap w:val="false"/>
          </w:tcPr>
          <w:p>
            <w:pPr>
              <w:jc w:val="center"/>
              <w:rPr>
                <w:rFonts w:hint="eastAsia" w:ascii="宋体" w:hAnsi="宋体" w:cs="宋体"/>
                <w:spacing w:val="-6"/>
                <w:sz w:val="24"/>
                <w:szCs w:val="24"/>
                <w14:ligatures w14:val="standardContextual"/>
              </w:rPr>
            </w:pPr>
            <w:r>
              <w:rPr>
                <w:rFonts w:hint="eastAsia" w:ascii="宋体" w:hAnsi="宋体" w:cs="宋体"/>
                <w:spacing w:val="-6"/>
                <w:sz w:val="24"/>
                <w:szCs w:val="24"/>
                <w14:ligatures w14:val="standardContextual"/>
              </w:rPr>
              <w:t xml:space="preserve">环保产品</w:t>
            </w:r>
            <w:r/>
          </w:p>
        </w:tc>
        <w:tc>
          <w:tcPr>
            <w:tcW w:w="719" w:type="dxa"/>
            <w:vAlign w:val="center"/>
            <w:textDirection w:val="lrTb"/>
            <w:noWrap w:val="false"/>
          </w:tcPr>
          <w:p>
            <w:pPr>
              <w:jc w:val="center"/>
              <w:rPr>
                <w:rFonts w:hint="eastAsia" w:ascii="宋体" w:hAnsi="宋体" w:cs="宋体"/>
                <w:spacing w:val="-6"/>
                <w:sz w:val="24"/>
                <w:szCs w:val="24"/>
                <w:highlight w:val="none"/>
                <w14:ligatures w14:val="standardContextual"/>
              </w:rPr>
            </w:pPr>
            <w:r>
              <w:rPr>
                <w:rFonts w:hint="eastAsia" w:ascii="宋体" w:hAnsi="宋体" w:cs="宋体"/>
                <w:spacing w:val="-6"/>
                <w:sz w:val="24"/>
                <w:szCs w:val="24"/>
                <w:highlight w:val="none"/>
                <w14:ligatures w14:val="standardContextual"/>
              </w:rPr>
              <w:t xml:space="preserve">5</w:t>
            </w:r>
            <w:r/>
          </w:p>
        </w:tc>
        <w:tc>
          <w:tcPr>
            <w:tcW w:w="7408" w:type="dxa"/>
            <w:vAlign w:val="center"/>
            <w:textDirection w:val="lrTb"/>
            <w:noWrap w:val="false"/>
          </w:tcPr>
          <w:p>
            <w:pPr>
              <w:rPr>
                <w:rFonts w:hint="eastAsia" w:ascii="宋体" w:hAnsi="宋体" w:cs="宋体"/>
                <w:b/>
                <w:bCs/>
                <w:spacing w:val="-6"/>
                <w:sz w:val="24"/>
                <w:szCs w:val="24"/>
                <w14:ligatures w14:val="standardContextual"/>
              </w:rPr>
            </w:pPr>
            <w:r>
              <w:rPr>
                <w:rFonts w:hint="eastAsia" w:ascii="宋体" w:hAnsi="宋体" w:cs="宋体"/>
                <w:b/>
                <w:bCs/>
                <w:spacing w:val="-6"/>
                <w:sz w:val="24"/>
                <w:szCs w:val="24"/>
                <w14:ligatures w14:val="standardContextual"/>
              </w:rPr>
              <w:t xml:space="preserve">环保产品认证</w:t>
            </w:r>
            <w:r>
              <w:rPr>
                <w:rFonts w:hint="eastAsia" w:ascii="宋体" w:hAnsi="宋体" w:cs="宋体"/>
                <w:b/>
                <w:bCs/>
                <w:spacing w:val="-6"/>
                <w:sz w:val="24"/>
                <w:szCs w:val="24"/>
                <w:lang w:val="en-US" w:eastAsia="zh-CN"/>
                <w14:ligatures w14:val="standardContextual"/>
              </w:rPr>
              <w:t xml:space="preserve">证书</w:t>
            </w:r>
            <w:r>
              <w:rPr>
                <w:rFonts w:hint="eastAsia" w:ascii="宋体" w:hAnsi="宋体" w:cs="宋体"/>
                <w:b/>
                <w:bCs/>
                <w:spacing w:val="-6"/>
                <w:sz w:val="24"/>
                <w:szCs w:val="24"/>
                <w14:ligatures w14:val="standardContextual"/>
              </w:rPr>
              <w:t xml:space="preserve">，本项共5分。</w:t>
            </w:r>
            <w:r/>
          </w:p>
          <w:p>
            <w:pPr>
              <w:rPr>
                <w:rFonts w:hint="eastAsia" w:ascii="宋体" w:hAnsi="宋体" w:cs="宋体"/>
                <w:b/>
                <w:bCs/>
                <w:spacing w:val="-6"/>
                <w:sz w:val="24"/>
                <w:szCs w:val="24"/>
                <w14:ligatures w14:val="standardContextual"/>
              </w:rPr>
            </w:pPr>
            <w:r>
              <w:rPr>
                <w:rFonts w:hint="eastAsia" w:ascii="宋体" w:hAnsi="宋体" w:cs="宋体"/>
                <w:b/>
                <w:bCs/>
                <w:spacing w:val="-6"/>
                <w:sz w:val="24"/>
                <w:szCs w:val="24"/>
                <w:highlight w:val="none"/>
                <w14:ligatures w14:val="standardContextual"/>
              </w:rPr>
              <w:t xml:space="preserve">本项目清单</w:t>
            </w:r>
            <w:r>
              <w:rPr>
                <w:rFonts w:hint="eastAsia" w:ascii="宋体" w:hAnsi="宋体" w:cs="宋体"/>
                <w:b/>
                <w:bCs/>
                <w:spacing w:val="-6"/>
                <w:sz w:val="24"/>
                <w:szCs w:val="24"/>
                <w:highlight w:val="none"/>
                <w:lang w:val="en-US" w:eastAsia="zh-CN"/>
                <w14:ligatures w14:val="standardContextual"/>
              </w:rPr>
              <w:t xml:space="preserve">中标注实木类家具产品</w:t>
            </w:r>
            <w:r>
              <w:rPr>
                <w:rFonts w:hint="eastAsia" w:ascii="宋体" w:hAnsi="宋体" w:cs="宋体"/>
                <w:b/>
                <w:bCs/>
                <w:spacing w:val="-6"/>
                <w:sz w:val="24"/>
                <w:szCs w:val="24"/>
                <w:highlight w:val="none"/>
                <w14:ligatures w14:val="standardContextual"/>
              </w:rPr>
              <w:t xml:space="preserve">，投标人</w:t>
            </w:r>
            <w:r>
              <w:rPr>
                <w:rFonts w:hint="eastAsia" w:ascii="宋体" w:hAnsi="宋体" w:cs="宋体"/>
                <w:b/>
                <w:bCs/>
                <w:spacing w:val="-6"/>
                <w:sz w:val="24"/>
                <w:szCs w:val="24"/>
                <w:highlight w:val="none"/>
                <w:lang w:val="en-US" w:eastAsia="zh-CN"/>
                <w14:ligatures w14:val="standardContextual"/>
              </w:rPr>
              <w:t xml:space="preserve">能提供中国环境标志产品认证证书的给予加分（证书里</w:t>
            </w:r>
            <w:r>
              <w:rPr>
                <w:rFonts w:hint="eastAsia" w:ascii="宋体" w:hAnsi="宋体" w:cs="宋体"/>
                <w:b/>
                <w:bCs/>
                <w:spacing w:val="-6"/>
                <w:sz w:val="24"/>
                <w:szCs w:val="24"/>
                <w:highlight w:val="none"/>
                <w:lang w:eastAsia="zh-CN"/>
                <w14:ligatures w14:val="standardContextual"/>
              </w:rPr>
              <w:t xml:space="preserve">的</w:t>
            </w:r>
            <w:r>
              <w:rPr>
                <w:rFonts w:hint="eastAsia" w:ascii="宋体" w:hAnsi="宋体" w:cs="宋体"/>
                <w:b/>
                <w:bCs/>
                <w:spacing w:val="-6"/>
                <w:sz w:val="24"/>
                <w:szCs w:val="24"/>
                <w:highlight w:val="none"/>
                <w:lang w:val="en-US" w:eastAsia="zh-CN"/>
                <w14:ligatures w14:val="standardContextual"/>
              </w:rPr>
              <w:t xml:space="preserve">品牌、</w:t>
            </w:r>
            <w:r>
              <w:rPr>
                <w:rFonts w:hint="eastAsia" w:ascii="宋体" w:hAnsi="宋体" w:cs="宋体"/>
                <w:b/>
                <w:bCs/>
                <w:spacing w:val="-6"/>
                <w:sz w:val="24"/>
                <w:szCs w:val="24"/>
                <w:highlight w:val="none"/>
                <w:lang w:eastAsia="zh-CN"/>
                <w14:ligatures w14:val="standardContextual"/>
              </w:rPr>
              <w:t xml:space="preserve">型号须与</w:t>
            </w:r>
            <w:r>
              <w:rPr>
                <w:rFonts w:hint="eastAsia" w:ascii="宋体" w:hAnsi="宋体" w:cs="宋体"/>
                <w:b/>
                <w:bCs/>
                <w:spacing w:val="-6"/>
                <w:sz w:val="24"/>
                <w:szCs w:val="24"/>
                <w:highlight w:val="none"/>
                <w:lang w:val="en-US" w:eastAsia="zh-CN"/>
                <w14:ligatures w14:val="standardContextual"/>
              </w:rPr>
              <w:t xml:space="preserve">投标产品</w:t>
            </w:r>
            <w:r>
              <w:rPr>
                <w:rFonts w:hint="eastAsia" w:ascii="宋体" w:hAnsi="宋体" w:cs="宋体"/>
                <w:b/>
                <w:bCs/>
                <w:spacing w:val="-6"/>
                <w:sz w:val="24"/>
                <w:szCs w:val="24"/>
                <w:highlight w:val="none"/>
                <w:lang w:eastAsia="zh-CN"/>
                <w14:ligatures w14:val="standardContextual"/>
              </w:rPr>
              <w:t xml:space="preserve">一致</w:t>
            </w:r>
            <w:r>
              <w:rPr>
                <w:rFonts w:hint="eastAsia" w:ascii="宋体" w:hAnsi="宋体" w:cs="宋体"/>
                <w:b/>
                <w:bCs/>
                <w:spacing w:val="-6"/>
                <w:sz w:val="24"/>
                <w:szCs w:val="24"/>
                <w:highlight w:val="none"/>
                <w:lang w:val="en-US" w:eastAsia="zh-CN"/>
                <w14:ligatures w14:val="standardContextual"/>
              </w:rPr>
              <w:t xml:space="preserve">）</w:t>
            </w:r>
            <w:r>
              <w:rPr>
                <w:rFonts w:hint="eastAsia" w:ascii="宋体" w:hAnsi="宋体" w:cs="宋体"/>
                <w:b/>
                <w:bCs/>
                <w:spacing w:val="-6"/>
                <w:sz w:val="24"/>
                <w:szCs w:val="24"/>
                <w14:ligatures w14:val="standardContextual"/>
              </w:rPr>
              <w:t xml:space="preserve">，每提供一个</w:t>
            </w:r>
            <w:r>
              <w:rPr>
                <w:rFonts w:hint="eastAsia" w:ascii="宋体" w:hAnsi="宋体" w:cs="宋体"/>
                <w:b/>
                <w:bCs/>
                <w:spacing w:val="-6"/>
                <w:sz w:val="24"/>
                <w:szCs w:val="24"/>
                <w:lang w:val="en-US" w:eastAsia="zh-CN"/>
                <w14:ligatures w14:val="standardContextual"/>
              </w:rPr>
              <w:t xml:space="preserve">加</w:t>
            </w:r>
            <w:r>
              <w:rPr>
                <w:rFonts w:hint="eastAsia" w:ascii="宋体" w:hAnsi="宋体" w:cs="宋体"/>
                <w:b/>
                <w:bCs/>
                <w:spacing w:val="-6"/>
                <w:sz w:val="24"/>
                <w:szCs w:val="24"/>
                <w14:ligatures w14:val="standardContextual"/>
              </w:rPr>
              <w:t xml:space="preserve">0.5分，最多</w:t>
            </w:r>
            <w:r>
              <w:rPr>
                <w:rFonts w:hint="eastAsia" w:ascii="宋体" w:hAnsi="宋体" w:cs="宋体"/>
                <w:b/>
                <w:bCs/>
                <w:spacing w:val="-6"/>
                <w:sz w:val="24"/>
                <w:szCs w:val="24"/>
                <w:lang w:val="en-US" w:eastAsia="zh-CN"/>
                <w14:ligatures w14:val="standardContextual"/>
              </w:rPr>
              <w:t xml:space="preserve">加</w:t>
            </w:r>
            <w:r>
              <w:rPr>
                <w:rFonts w:hint="eastAsia" w:ascii="宋体" w:hAnsi="宋体" w:cs="宋体"/>
                <w:b/>
                <w:bCs/>
                <w:spacing w:val="-6"/>
                <w:sz w:val="24"/>
                <w:szCs w:val="24"/>
                <w14:ligatures w14:val="standardContextual"/>
              </w:rPr>
              <w:t xml:space="preserve">5分。</w:t>
            </w:r>
            <w:r/>
          </w:p>
        </w:tc>
      </w:tr>
    </w:tbl>
    <w:p>
      <w:pPr>
        <w:jc w:val="center"/>
        <w:keepLines/>
        <w:keepNext/>
        <w:pageBreakBefore/>
        <w:spacing w:line="360" w:lineRule="auto"/>
        <w:rPr>
          <w:b/>
          <w:color w:val="000000"/>
          <w:sz w:val="44"/>
          <w:szCs w:val="44"/>
        </w:rPr>
        <w:outlineLvl w:val="0"/>
      </w:pPr>
      <w:r/>
      <w:bookmarkStart w:id="123" w:name="_Toc6879"/>
      <w:r>
        <w:rPr>
          <w:rFonts w:hint="eastAsia"/>
          <w:b/>
          <w:color w:val="000000"/>
          <w:sz w:val="44"/>
          <w:szCs w:val="44"/>
        </w:rPr>
        <w:t xml:space="preserve">第四章</w:t>
      </w:r>
      <w:r>
        <w:rPr>
          <w:b/>
          <w:color w:val="000000"/>
          <w:sz w:val="44"/>
          <w:szCs w:val="44"/>
        </w:rPr>
        <w:t xml:space="preserve">  </w:t>
      </w:r>
      <w:r>
        <w:rPr>
          <w:rFonts w:hint="eastAsia"/>
          <w:b/>
          <w:color w:val="000000"/>
          <w:sz w:val="44"/>
          <w:szCs w:val="44"/>
        </w:rPr>
        <w:t xml:space="preserve">采购需求</w:t>
      </w:r>
      <w:bookmarkEnd w:id="117"/>
      <w:r/>
      <w:bookmarkEnd w:id="119"/>
      <w:r/>
      <w:bookmarkEnd w:id="120"/>
      <w:r/>
      <w:bookmarkEnd w:id="121"/>
      <w:r/>
      <w:bookmarkEnd w:id="122"/>
      <w:r/>
      <w:bookmarkEnd w:id="123"/>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项目属性：货物类项目</w:t>
      </w:r>
      <w:r/>
    </w:p>
    <w:p>
      <w:pPr>
        <w:ind w:firstLine="482"/>
        <w:spacing w:line="480" w:lineRule="exact"/>
        <w:rPr>
          <w:rFonts w:hint="eastAsia" w:ascii="宋体" w:hAnsi="宋体" w:cs="宋体"/>
          <w:sz w:val="24"/>
          <w:szCs w:val="24"/>
        </w:rPr>
      </w:pPr>
      <w:r>
        <w:rPr>
          <w:rFonts w:hint="eastAsia" w:ascii="宋体" w:hAnsi="宋体" w:cs="宋体"/>
          <w:sz w:val="24"/>
          <w:szCs w:val="24"/>
        </w:rPr>
        <w:t xml:space="preserve">本项目采购标的对应的中小企业划分</w:t>
      </w:r>
      <w:r>
        <w:rPr>
          <w:rFonts w:hint="eastAsia" w:ascii="宋体" w:hAnsi="宋体" w:cs="宋体"/>
          <w:sz w:val="24"/>
          <w:szCs w:val="24"/>
          <w:u w:val="single"/>
        </w:rPr>
        <w:t xml:space="preserve">标准所属</w:t>
      </w:r>
      <w:r>
        <w:rPr>
          <w:rFonts w:hint="eastAsia" w:ascii="宋体" w:hAnsi="宋体" w:cs="宋体"/>
          <w:sz w:val="24"/>
          <w:szCs w:val="24"/>
        </w:rPr>
        <w:t xml:space="preserve">行业：</w:t>
      </w:r>
      <w:r>
        <w:rPr>
          <w:rFonts w:hint="eastAsia" w:ascii="宋体" w:hAnsi="宋体" w:cs="宋体"/>
          <w:sz w:val="24"/>
          <w:szCs w:val="24"/>
          <w:u w:val="single"/>
        </w:rPr>
        <w:t xml:space="preserve">工业</w:t>
      </w:r>
      <w:r/>
    </w:p>
    <w:p>
      <w:pPr>
        <w:jc w:val="left"/>
        <w:spacing w:line="360" w:lineRule="auto"/>
        <w:rPr>
          <w:rFonts w:hint="eastAsia" w:ascii="宋体" w:hAnsi="宋体" w:cs="宋体"/>
          <w:b/>
          <w:sz w:val="28"/>
          <w:szCs w:val="28"/>
        </w:rPr>
      </w:pPr>
      <w:r/>
      <w:bookmarkStart w:id="124" w:name="EBed45d9b53fca4fbcaa5776bf32500224"/>
      <w:r>
        <w:rPr>
          <w:rFonts w:hint="eastAsia" w:ascii="宋体" w:hAnsi="宋体" w:cs="宋体"/>
          <w:b/>
          <w:sz w:val="28"/>
          <w:szCs w:val="28"/>
        </w:rPr>
        <w:t xml:space="preserve">一、项目概况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建设智慧康养实训室，设置看护设备、康复设备等，引导学员真实学习当前养老机构运营、管理流程，包括老年能力评估、居家照护养老、机构养老、医疗康复、营养膳食、智慧看护、人文关怀等多种真实场景；2.建设托育服务实训室，是配合新设婴幼儿托育服务与管理专业开展实训和教学工作的新型实训室，主要承担0-3托育课程的专业技能实训教学。专业技能实训室包括基础技能、核心技能和拓展技能三大部分。主要内容详见清单附后。</w:t>
      </w:r>
      <w:r/>
    </w:p>
    <w:p>
      <w:pPr>
        <w:jc w:val="left"/>
        <w:spacing w:line="360" w:lineRule="auto"/>
        <w:rPr>
          <w:rFonts w:hint="eastAsia" w:ascii="宋体" w:hAnsi="宋体" w:cs="宋体"/>
          <w:sz w:val="24"/>
          <w:szCs w:val="24"/>
        </w:rPr>
      </w:pPr>
      <w:r>
        <w:rPr>
          <w:rFonts w:hint="eastAsia" w:ascii="宋体" w:hAnsi="宋体" w:cs="宋体"/>
          <w:b/>
          <w:sz w:val="28"/>
          <w:szCs w:val="28"/>
        </w:rPr>
        <w:t xml:space="preserve">二、合同履约期限：</w:t>
      </w:r>
      <w:r>
        <w:rPr>
          <w:rFonts w:hint="eastAsia" w:ascii="宋体" w:hAnsi="宋体" w:cs="宋体"/>
          <w:bCs/>
          <w:sz w:val="24"/>
          <w:szCs w:val="24"/>
        </w:rPr>
        <w:t xml:space="preserve">自</w:t>
      </w:r>
      <w:r>
        <w:rPr>
          <w:rFonts w:hint="eastAsia" w:ascii="Times New Roman" w:hAnsi="Times New Roman" w:cs="仿宋"/>
          <w:color w:val="000000"/>
          <w:sz w:val="24"/>
          <w:szCs w:val="24"/>
        </w:rPr>
        <w:t xml:space="preserve">合同签订之日起60日历天。</w:t>
      </w:r>
      <w:r/>
    </w:p>
    <w:p>
      <w:pPr>
        <w:jc w:val="left"/>
        <w:spacing w:line="360" w:lineRule="auto"/>
        <w:rPr>
          <w:rFonts w:hint="eastAsia" w:ascii="宋体" w:hAnsi="宋体" w:cs="宋体"/>
          <w:sz w:val="24"/>
          <w:szCs w:val="24"/>
        </w:rPr>
      </w:pPr>
      <w:r>
        <w:rPr>
          <w:rFonts w:hint="eastAsia" w:ascii="宋体" w:hAnsi="宋体" w:cs="宋体"/>
          <w:b/>
          <w:sz w:val="28"/>
          <w:szCs w:val="28"/>
        </w:rPr>
        <w:t xml:space="preserve">三、质保期：</w:t>
      </w:r>
      <w:r>
        <w:rPr>
          <w:rFonts w:hint="eastAsia" w:ascii="宋体" w:hAnsi="宋体" w:cs="宋体"/>
          <w:sz w:val="24"/>
          <w:szCs w:val="24"/>
        </w:rPr>
        <w:t xml:space="preserve">三年，自验收合格之日起算。</w:t>
      </w:r>
      <w:r/>
    </w:p>
    <w:p>
      <w:pPr>
        <w:jc w:val="left"/>
        <w:spacing w:line="360" w:lineRule="auto"/>
        <w:rPr>
          <w:rFonts w:hint="eastAsia" w:ascii="宋体" w:hAnsi="宋体" w:cs="宋体"/>
          <w:b/>
          <w:sz w:val="28"/>
          <w:szCs w:val="28"/>
        </w:rPr>
      </w:pPr>
      <w:r>
        <w:rPr>
          <w:rFonts w:hint="eastAsia" w:ascii="宋体" w:hAnsi="宋体" w:cs="宋体"/>
          <w:b/>
          <w:sz w:val="28"/>
          <w:szCs w:val="28"/>
        </w:rPr>
        <w:t xml:space="preserve">四、付款方式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按照招标文件和合同约定的付款方式，采购人及时办理付款手续。对于满足合同约定支付条件的，自收到发票后15日内将资金支付到合同约定的供应商账户。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合同签订后，采购方自收到发票后15日内支付合同金额的10%作为预付款；</w:t>
      </w:r>
      <w:r>
        <w:rPr>
          <w:rFonts w:hint="eastAsia" w:ascii="宋体" w:hAnsi="宋体" w:cs="宋体"/>
          <w:sz w:val="24"/>
          <w:szCs w:val="24"/>
          <w:lang w:val="en-US" w:eastAsia="zh-CN"/>
        </w:rPr>
        <w:t xml:space="preserve">货物全部进场安装调试完毕付至合同价的70%，</w:t>
      </w:r>
      <w:r>
        <w:rPr>
          <w:rFonts w:hint="eastAsia" w:ascii="宋体" w:hAnsi="宋体" w:cs="宋体"/>
          <w:sz w:val="24"/>
          <w:szCs w:val="24"/>
        </w:rPr>
        <w:t xml:space="preserve">经初验验收合格后付至合同价款的</w:t>
      </w:r>
      <w:r>
        <w:rPr>
          <w:rFonts w:hint="eastAsia" w:ascii="宋体" w:hAnsi="宋体" w:cs="宋体"/>
          <w:sz w:val="24"/>
          <w:szCs w:val="24"/>
          <w:lang w:val="en-US" w:eastAsia="zh-CN"/>
        </w:rPr>
        <w:t xml:space="preserve">9</w:t>
      </w:r>
      <w:r>
        <w:rPr>
          <w:rFonts w:hint="eastAsia" w:ascii="宋体" w:hAnsi="宋体" w:cs="宋体"/>
          <w:sz w:val="24"/>
          <w:szCs w:val="24"/>
        </w:rPr>
        <w:t xml:space="preserve">0%</w:t>
      </w:r>
      <w:r>
        <w:rPr>
          <w:rFonts w:hint="eastAsia" w:ascii="宋体" w:hAnsi="宋体" w:cs="宋体"/>
          <w:sz w:val="24"/>
          <w:szCs w:val="24"/>
          <w:highlight w:val="none"/>
        </w:rPr>
        <w:t xml:space="preserve">，一年后组织</w:t>
      </w:r>
      <w:r>
        <w:rPr>
          <w:rFonts w:hint="eastAsia" w:ascii="宋体" w:hAnsi="宋体" w:cs="宋体"/>
          <w:sz w:val="24"/>
          <w:szCs w:val="24"/>
          <w:highlight w:val="none"/>
          <w:lang w:val="en-US" w:eastAsia="zh-CN"/>
        </w:rPr>
        <w:t xml:space="preserve">验收</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验收</w:t>
      </w:r>
      <w:r>
        <w:rPr>
          <w:rFonts w:hint="eastAsia" w:ascii="宋体" w:hAnsi="宋体" w:cs="宋体"/>
          <w:sz w:val="24"/>
          <w:szCs w:val="24"/>
          <w:highlight w:val="none"/>
        </w:rPr>
        <w:t xml:space="preserve">合格后安排审计，结束后按审计结算价</w:t>
      </w:r>
      <w:r>
        <w:rPr>
          <w:rFonts w:hint="eastAsia" w:ascii="宋体" w:hAnsi="宋体" w:cs="宋体"/>
          <w:sz w:val="24"/>
          <w:szCs w:val="24"/>
        </w:rPr>
        <w:t xml:space="preserve">付清</w:t>
      </w:r>
      <w:r>
        <w:rPr>
          <w:rFonts w:hint="eastAsia" w:ascii="宋体" w:hAnsi="宋体" w:cs="宋体"/>
          <w:sz w:val="24"/>
          <w:szCs w:val="24"/>
          <w:lang w:val="en-US" w:eastAsia="zh-CN"/>
        </w:rPr>
        <w:t xml:space="preserve">余款</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资金支付的条件：满足相应阶段的要求且收到供应商发票；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注：1.在签订合同时，中标人明确表示无需预付款或者主动要求降低预付款比例的金额，采购人可不适用预付款规定；</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2.合同款可以采用数字人民币方式进行支付</w:t>
      </w:r>
      <w:r>
        <w:rPr>
          <w:rFonts w:hint="eastAsia" w:ascii="宋体" w:hAnsi="宋体" w:cs="宋体"/>
          <w:bCs/>
          <w:sz w:val="24"/>
          <w:szCs w:val="24"/>
        </w:rPr>
        <w:t xml:space="preserve">。</w:t>
      </w:r>
      <w:r/>
    </w:p>
    <w:p>
      <w:pPr>
        <w:jc w:val="left"/>
        <w:spacing w:line="360" w:lineRule="auto"/>
        <w:rPr>
          <w:rFonts w:hint="eastAsia" w:ascii="宋体" w:hAnsi="宋体" w:cs="宋体"/>
          <w:b/>
          <w:sz w:val="28"/>
          <w:szCs w:val="28"/>
        </w:rPr>
      </w:pPr>
      <w:r>
        <w:rPr>
          <w:rFonts w:hint="eastAsia" w:ascii="宋体" w:hAnsi="宋体" w:cs="宋体"/>
          <w:b/>
          <w:sz w:val="28"/>
          <w:szCs w:val="28"/>
        </w:rPr>
        <w:t xml:space="preserve">五、</w:t>
      </w:r>
      <w:bookmarkEnd w:id="124"/>
      <w:r>
        <w:rPr>
          <w:rFonts w:hint="eastAsia" w:ascii="宋体" w:hAnsi="宋体" w:cs="宋体"/>
          <w:b/>
          <w:sz w:val="28"/>
          <w:szCs w:val="28"/>
        </w:rPr>
        <w:t xml:space="preserve">采购清单及标准</w:t>
      </w:r>
      <w:r/>
    </w:p>
    <w:tbl>
      <w:tblPr>
        <w:tblStyle w:val="875"/>
        <w:tblW w:w="9869" w:type="dxa"/>
        <w:tblInd w:w="93" w:type="dxa"/>
        <w:tblLayout w:type="fixed"/>
        <w:tblCellMar>
          <w:left w:w="108" w:type="dxa"/>
          <w:top w:w="0" w:type="dxa"/>
          <w:right w:w="108" w:type="dxa"/>
          <w:bottom w:w="0" w:type="dxa"/>
        </w:tblCellMar>
        <w:tblLook w:val="04A0" w:firstRow="1" w:lastRow="0" w:firstColumn="1" w:lastColumn="0" w:noHBand="0" w:noVBand="1"/>
      </w:tblPr>
      <w:tblGrid>
        <w:gridCol w:w="519"/>
        <w:gridCol w:w="825"/>
        <w:gridCol w:w="7452"/>
        <w:gridCol w:w="400"/>
        <w:gridCol w:w="673"/>
      </w:tblGrid>
      <w:tr>
        <w:trPr>
          <w:trHeight w:val="400"/>
        </w:trPr>
        <w:tc>
          <w:tcPr>
            <w:tcBorders>
              <w:top w:val="single" w:color="auto" w:sz="4" w:space="0"/>
              <w:left w:val="single" w:color="auto"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color w:val="000000"/>
                <w:sz w:val="21"/>
                <w:szCs w:val="21"/>
                <w:highlight w:val="none"/>
                <w14:ligatures w14:val="standardContextual"/>
              </w:rPr>
              <w:t xml:space="preserve">序号</w:t>
            </w:r>
            <w:r/>
          </w:p>
        </w:tc>
        <w:tc>
          <w:tcPr>
            <w:tcBorders>
              <w:top w:val="single" w:color="auto"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color w:val="000000"/>
                <w:sz w:val="21"/>
                <w:szCs w:val="21"/>
                <w:highlight w:val="none"/>
                <w14:ligatures w14:val="standardContextual"/>
              </w:rPr>
              <w:t xml:space="preserve">品名</w:t>
            </w:r>
            <w:r/>
          </w:p>
        </w:tc>
        <w:tc>
          <w:tcPr>
            <w:tcBorders>
              <w:top w:val="single" w:color="auto" w:sz="4" w:space="0"/>
              <w:left w:val="single" w:color="000000" w:sz="4" w:space="0"/>
              <w:bottom w:val="single" w:color="000000" w:sz="4" w:space="0"/>
              <w:right w:val="single" w:color="000000" w:sz="4" w:space="0"/>
            </w:tcBorders>
            <w:tcW w:w="7452" w:type="dxa"/>
            <w:vAlign w:val="center"/>
            <w:textDirection w:val="lrTb"/>
            <w:noWrap w:val="false"/>
          </w:tcPr>
          <w:p>
            <w:pPr>
              <w:jc w:val="center"/>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color w:val="000000"/>
                <w:sz w:val="21"/>
                <w:szCs w:val="21"/>
                <w:highlight w:val="none"/>
                <w14:ligatures w14:val="standardContextual"/>
              </w:rPr>
              <w:t xml:space="preserve">规格参数</w:t>
            </w:r>
            <w:r/>
          </w:p>
        </w:tc>
        <w:tc>
          <w:tcPr>
            <w:tcBorders>
              <w:top w:val="single" w:color="auto"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color w:val="000000"/>
                <w:sz w:val="21"/>
                <w:szCs w:val="21"/>
                <w:highlight w:val="none"/>
                <w14:ligatures w14:val="standardContextual"/>
              </w:rPr>
              <w:t xml:space="preserve">单位</w:t>
            </w:r>
            <w:r/>
          </w:p>
        </w:tc>
        <w:tc>
          <w:tcPr>
            <w:tcBorders>
              <w:top w:val="single" w:color="auto" w:sz="4" w:space="0"/>
              <w:left w:val="single" w:color="000000" w:sz="4" w:space="0"/>
              <w:bottom w:val="single" w:color="000000" w:sz="4" w:space="0"/>
              <w:right w:val="single" w:color="auto" w:sz="4" w:space="0"/>
            </w:tcBorders>
            <w:tcW w:w="673" w:type="dxa"/>
            <w:vAlign w:val="center"/>
            <w:textDirection w:val="lrTb"/>
            <w:noWrap w:val="false"/>
          </w:tcPr>
          <w:p>
            <w:pPr>
              <w:jc w:val="center"/>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color w:val="000000"/>
                <w:sz w:val="21"/>
                <w:szCs w:val="21"/>
                <w:highlight w:val="none"/>
                <w14:ligatures w14:val="standardContextual"/>
              </w:rPr>
              <w:t xml:space="preserve">数量</w:t>
            </w:r>
            <w:r/>
          </w:p>
        </w:tc>
      </w:tr>
      <w:tr>
        <w:trPr>
          <w:trHeight w:val="400"/>
        </w:trPr>
        <w:tc>
          <w:tcPr>
            <w:gridSpan w:val="5"/>
            <w:tcBorders>
              <w:top w:val="single" w:color="000000" w:sz="4" w:space="0"/>
              <w:left w:val="single" w:color="auto" w:sz="4" w:space="0"/>
              <w:bottom w:val="single" w:color="auto" w:sz="4" w:space="0"/>
              <w:right w:val="single" w:color="auto" w:sz="4" w:space="0"/>
            </w:tcBorders>
            <w:tcW w:w="9869" w:type="dxa"/>
            <w:vAlign w:val="center"/>
            <w:textDirection w:val="lrTb"/>
            <w:noWrap w:val="false"/>
          </w:tcPr>
          <w:p>
            <w:pPr>
              <w:jc w:val="left"/>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color w:val="000000"/>
                <w:sz w:val="21"/>
                <w:szCs w:val="21"/>
                <w:highlight w:val="none"/>
                <w14:ligatures w14:val="standardContextual"/>
              </w:rPr>
              <w:t xml:space="preserve">一、智慧健康养老暨现代家政实训中心</w:t>
            </w:r>
            <w:r/>
          </w:p>
        </w:tc>
      </w:tr>
      <w:tr>
        <w:trPr>
          <w:trHeight w:val="400"/>
        </w:trPr>
        <w:tc>
          <w:tcPr>
            <w:tcBorders>
              <w:top w:val="single" w:color="auto"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c>
          <w:tcPr>
            <w:tcBorders>
              <w:top w:val="single" w:color="auto"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前台</w:t>
            </w:r>
            <w:r/>
          </w:p>
        </w:tc>
        <w:tc>
          <w:tcPr>
            <w:tcBorders>
              <w:top w:val="single" w:color="auto"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 参考规格：220*60*100cm；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2.总体要求：与周围环境协调，简洁大方、结实牢固、美观实用；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3.施工前须提供不少于3套框架造型样式模板供选择参考；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4.主体基材为≥3cm厚度生态板；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5.走线、灯带灯条等设置科学、安全隐蔽</w:t>
            </w:r>
            <w:r>
              <w:rPr>
                <w:rFonts w:hint="eastAsia" w:ascii="宋体" w:hAnsi="宋体" w:eastAsia="宋体" w:cs="宋体"/>
                <w:color w:val="000000"/>
                <w:sz w:val="21"/>
                <w:szCs w:val="21"/>
                <w:highlight w:val="none"/>
                <w:lang w:eastAsia="zh-CN"/>
              </w:rPr>
              <w:t xml:space="preserve">。</w:t>
            </w:r>
            <w:r/>
          </w:p>
        </w:tc>
        <w:tc>
          <w:tcPr>
            <w:tcBorders>
              <w:top w:val="single" w:color="auto"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auto"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文化背景墙</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1.突出主题文化、形象信息宣达、室内美化等；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2.须提供不少于3套文化墙框架造型样式模板供选择参考，现场定制；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3.材质：铝合金、亚克力、实木等（不得用密度板）</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30</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康养机构暨家政运营沙盘</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1.模拟智慧养老居家或机构以及现代家政布局；</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2.含居家养老、家政相关布局和设施等；至少包含：户外庭院、玄关、客厅、卧室、厨房、餐厅、卫生间等；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3.尺寸参考：正方形，边长≥140cm（结合建设场地）；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4.匹配灯光及其控制按钮，可模拟沙盘样式流程；</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吸顶投影机</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4K、≥2500CVIA、三色激光、</w:t>
            </w:r>
            <w:r>
              <w:rPr>
                <w:rFonts w:hint="eastAsia" w:ascii="宋体" w:hAnsi="宋体" w:eastAsia="宋体" w:cs="宋体"/>
                <w:color w:val="000000"/>
                <w:sz w:val="21"/>
                <w:szCs w:val="21"/>
                <w:highlight w:val="none"/>
                <w:lang w:eastAsia="zh-CN"/>
              </w:rPr>
              <w:t xml:space="preserve">Wi-Fi</w:t>
            </w:r>
            <w:r>
              <w:rPr>
                <w:rFonts w:hint="eastAsia" w:ascii="宋体" w:hAnsi="宋体" w:eastAsia="宋体" w:cs="宋体"/>
                <w:color w:val="000000"/>
                <w:sz w:val="21"/>
                <w:szCs w:val="21"/>
                <w:highlight w:val="none"/>
              </w:rPr>
              <w:t xml:space="preserve">6+蓝牙、自动校正</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沙发茶几套装</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4"/>
              </w:num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参考尺寸：一个三人位≥180*65cm；两个单人位≥65*65cm，一个茶几≥100*50*45cm；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2.材质：（1）沙发：优质实木框架、环保清漆；坐垫采用高密度海绵、PU皮；腿底部加装防滑垫；（2）茶几：实木、台面边角倒圆、光滑圆角颜色与主题和环境协调。</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多功能智能拐杖</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1.GPS定位、一键求救、4G通话、APP寻踪、手电照明、MP3功能；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2.长度：70～100cm，可伸缩；</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3.材质：铝合金、ABS塑料；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4.供电：内置锂电池（可拆卸），正常使用续航约一周，type-c充电。</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把</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1133"/>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电动轮椅</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1.LED灯显，后掀式扶手，加宽扶手垫；</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2.人体工学皮革沙发椅，可拆式拨脚；</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3.最大时速：10km/h；最小回转半径：85cm；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4.小腿长：30～40(cm</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；安全载重≥130kg</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辆</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组合电视柜</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1.组合式电视柜，含主体电视柜、矮边柜*2；</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2.尺寸参考：电视柜≥200*42*70cm；矮边柜≥75*42*100cm；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3.材质：E0级多层板/水性环保油漆；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4.含一层抽屉，柜子底部留空，利于轮椅接近。</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161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液晶电视</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规格≥65英寸；分辨率≥4K；屏幕比例16:9；≥Android四核；运行内存≥2GB；存储内存≥16GB。</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A020910电视设备</w:t>
            </w:r>
            <w:r>
              <w:rPr>
                <w:rFonts w:hint="eastAsia" w:ascii="宋体" w:hAnsi="宋体" w:eastAsia="宋体" w:cs="宋体"/>
                <w:b/>
                <w:bCs/>
                <w:sz w:val="21"/>
                <w:szCs w:val="21"/>
                <w:highlight w:val="none"/>
              </w:rPr>
              <w:t xml:space="preserve">”品目，投标人须在投标文件中提供</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属于</w:t>
            </w:r>
            <w:r>
              <w:rPr>
                <w:rFonts w:hint="eastAsia" w:ascii="宋体" w:hAnsi="宋体" w:eastAsia="宋体" w:cs="宋体"/>
                <w:b/>
                <w:bCs/>
                <w:sz w:val="21"/>
                <w:szCs w:val="21"/>
                <w:highlight w:val="none"/>
              </w:rPr>
              <w:t xml:space="preserve">国家强制性节能产品品目</w:t>
            </w:r>
            <w:r>
              <w:rPr>
                <w:rFonts w:hint="eastAsia" w:ascii="宋体" w:hAnsi="宋体" w:eastAsia="宋体" w:cs="宋体"/>
                <w:b/>
                <w:bCs/>
                <w:sz w:val="21"/>
                <w:szCs w:val="21"/>
                <w:highlight w:val="none"/>
                <w:lang w:val="en-US" w:eastAsia="zh-CN"/>
              </w:rPr>
              <w:t xml:space="preserve">清单</w:t>
            </w:r>
            <w:r>
              <w:rPr>
                <w:rFonts w:hint="eastAsia" w:ascii="宋体" w:hAnsi="宋体" w:eastAsia="宋体" w:cs="宋体"/>
                <w:b/>
                <w:bCs/>
                <w:sz w:val="21"/>
                <w:szCs w:val="21"/>
                <w:highlight w:val="none"/>
              </w:rPr>
              <w:t xml:space="preserve">内的产品</w:t>
            </w:r>
            <w:r>
              <w:rPr>
                <w:rFonts w:hint="eastAsia" w:ascii="宋体" w:hAnsi="宋体" w:eastAsia="宋体" w:cs="宋体"/>
                <w:b/>
                <w:bCs/>
                <w:sz w:val="21"/>
                <w:szCs w:val="21"/>
                <w:highlight w:val="none"/>
                <w:lang w:val="en-US" w:eastAsia="zh-CN"/>
              </w:rPr>
              <w:t xml:space="preserve">获得</w:t>
            </w:r>
            <w:r>
              <w:rPr>
                <w:rFonts w:hint="eastAsia" w:ascii="宋体" w:hAnsi="宋体" w:eastAsia="宋体" w:cs="宋体"/>
                <w:b/>
                <w:bCs/>
                <w:sz w:val="21"/>
                <w:szCs w:val="21"/>
                <w:highlight w:val="none"/>
              </w:rPr>
              <w:t xml:space="preserve">的由国家确定的认证机构出具的、处于有效期之内的节能产品认证证书</w:t>
            </w:r>
            <w:r>
              <w:rPr>
                <w:rFonts w:hint="eastAsia" w:ascii="宋体" w:hAnsi="宋体" w:eastAsia="宋体" w:cs="宋体"/>
                <w:b/>
                <w:bCs/>
                <w:sz w:val="21"/>
                <w:szCs w:val="21"/>
                <w:highlight w:val="none"/>
                <w:lang w:val="en-US" w:eastAsia="zh-CN"/>
              </w:rPr>
              <w:t xml:space="preserve">电子件</w:t>
            </w:r>
            <w:r>
              <w:rPr>
                <w:rFonts w:hint="eastAsia" w:ascii="宋体" w:hAnsi="宋体" w:eastAsia="宋体" w:cs="宋体"/>
                <w:b/>
                <w:bCs/>
                <w:sz w:val="21"/>
                <w:szCs w:val="21"/>
                <w:highlight w:val="none"/>
              </w:rPr>
              <w:t xml:space="preserve">，证书型号与投标产品一致，加投标人盖公章。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213"/>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智慧AI老人陪护机器人</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 能理解语意、自主思维，安装情感表达、自主学习导航；用于老人等人群的陪护；</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2.内置AI语音模型，支持AI自动报警；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3.功能：远程看护、紧急报警、健康监测、慢病管理、全屋跌倒检测报警、音视频通话；</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4.AI互动情感共鸣：倾听老人的想法、感受、信仰和经历感知悲伤与欢乐，帮助老人排泄情绪；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5.1个毫米波跌倒雷达；1个睡眠毫米波监测雷达；</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6.毫米波雷达+AI视觉人体姿态，智能识别跌倒状态并呼救；可部署多个毫米波雷达实现全屋覆盖；</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7.智能睡眠检测分析，每日可推送报告；可检测体温、心率、血压、微循环、血氧等。呵护健康，预防疾病；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8.支持血压仪、血糖仪等外接设备测量后可同步上传到机器端，数据实现共享，监护人员方便在终端上查看。</w:t>
            </w:r>
            <w:r>
              <w:rPr>
                <w:rFonts w:hint="eastAsia" w:ascii="宋体" w:hAnsi="宋体" w:eastAsia="宋体" w:cs="宋体"/>
                <w:b/>
                <w:bCs/>
                <w:color w:val="000000"/>
                <w:sz w:val="21"/>
                <w:szCs w:val="21"/>
                <w:highlight w:val="none"/>
              </w:rPr>
              <w:t xml:space="preserve">（提供承诺函，格式自拟）</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餐桌</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5"/>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材质：实木；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2.参考尺寸：≧140*80*75cm；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3.台面圆润边角倒圆；桌面有内扣手；带导水槽设计</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座椅</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5"/>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材质：实木；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2.参考尺寸：≧140*80*75cm；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3.台面圆润边角倒圆；桌面有内扣手；带导水槽设计</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餐具组合及实物模型</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1.记忆勺子：2个。进食辅助餐具，材料为形状记忆聚合物，加热将变成柔软的橡胶形状，可根据个人的手腕，手指，握力的状态来自由</w:t>
            </w:r>
            <w:r>
              <w:rPr>
                <w:rFonts w:hint="eastAsia" w:ascii="宋体" w:hAnsi="宋体" w:eastAsia="宋体" w:cs="宋体"/>
                <w:color w:val="000000"/>
                <w:sz w:val="21"/>
                <w:szCs w:val="21"/>
                <w:highlight w:val="none"/>
                <w:lang w:eastAsia="zh-CN"/>
              </w:rPr>
              <w:t xml:space="preserve">地</w:t>
            </w:r>
            <w:r>
              <w:rPr>
                <w:rFonts w:hint="eastAsia" w:ascii="宋体" w:hAnsi="宋体" w:eastAsia="宋体" w:cs="宋体"/>
                <w:color w:val="000000"/>
                <w:sz w:val="21"/>
                <w:szCs w:val="21"/>
                <w:highlight w:val="none"/>
              </w:rPr>
              <w:t xml:space="preserve">调节手柄的形状，同时可以返回预先给予的记忆形状，冷却可定型；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2.记忆叉子：2个；进食辅助餐具，材料为形状记忆聚合物，加热将变成柔软的橡胶形状，可根据个人的手腕，手指，握力的状态来自由</w:t>
            </w:r>
            <w:r>
              <w:rPr>
                <w:rFonts w:hint="eastAsia" w:ascii="宋体" w:hAnsi="宋体" w:eastAsia="宋体" w:cs="宋体"/>
                <w:color w:val="000000"/>
                <w:sz w:val="21"/>
                <w:szCs w:val="21"/>
                <w:highlight w:val="none"/>
                <w:lang w:eastAsia="zh-CN"/>
              </w:rPr>
              <w:t xml:space="preserve">地</w:t>
            </w:r>
            <w:r>
              <w:rPr>
                <w:rFonts w:hint="eastAsia" w:ascii="宋体" w:hAnsi="宋体" w:eastAsia="宋体" w:cs="宋体"/>
                <w:color w:val="000000"/>
                <w:sz w:val="21"/>
                <w:szCs w:val="21"/>
                <w:highlight w:val="none"/>
              </w:rPr>
              <w:t xml:space="preserve">调节手柄的形状，同时可以返回预先给予的记忆形状，冷却可定型；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3.助食筷：2双。抗菌材料PBT树脂及高档竹；</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防洒盘：2个。抗菌材料，底座分离：可分离软底座，底部防滑软硬结合的设计，使餐盘不容易打翻；取下防滑套，能当作常规的碟子使用。碗底柔软硅胶，采取按压排空的方式，将碗底吸在桌面，以防止老人把碗掉到地上，</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5.食物模型1套：①白灼菜心模型，环保高分子聚合物，尺寸：9寸平盘；②红烧排骨模型，环保高分子聚合物，尺寸：9寸平盘；③白米饭模型1个，环保高分子聚合物，尺寸：11.4*6cm。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厨房配餐台定制</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1.参考规格：台面宽≥550cm；高≥70cm；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2.材质：台面为石英石；下方设置实木储物柜体；</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3.含两套盥洗池及水龙头。</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4.用于模拟厨房环境；也可适用于其他实训需求。</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米</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5.5</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厨房吊柜</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1.参考尺寸≥35×65cm；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2.材质：实木；优质五金把手</w:t>
            </w:r>
            <w:r>
              <w:rPr>
                <w:rFonts w:hint="eastAsia" w:ascii="宋体" w:hAnsi="宋体" w:eastAsia="宋体" w:cs="宋体"/>
                <w:sz w:val="21"/>
                <w:szCs w:val="21"/>
                <w:highlight w:val="none"/>
              </w:rPr>
              <w:t xml:space="preserve">，缓冲铰链；</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3.设置于厨房配餐台上方</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米</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3.5</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一体化适老无障碍智能升降厨台</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6"/>
              </w:num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现场定制；整体尺寸参考：≥170×60×200cm；灶台尺寸参考：≥170×60×70cm；橱柜尺寸参考：≥80×35×65cm；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2.一体化适老无障碍智能升降厨台，用于ADL训练用具，训练生活自理能力；以及厨房环境改造设计实训等；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3.包含电动无障碍升降灶台（内嵌燃气灶）、盥洗台、升降吊柜、升降拉篮、无障碍整体台面等；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4.产品组成：台面、洗菜盆、抽拉水龙头；升降实木壁柜、抽油烟机、升降设备、厨柜升降支架；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5.材质：台面为石英石；洗手盆、水龙头为304不透钢；吊柜为铝合金或多层实木板；壁板及壁柜为高密度板；厨柜支架为方型钢骨架；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6.升降高度参考：55～90cm；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7.升降方式：有线＋无线遥控；一键遥控；‌</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8.智能记忆模式‌：为每位老人预设专属高度；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‌9.防撞缓冲设计‌：升降过程智能感应障碍物，遇阻即停，避免磕碰风险；</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‌10.耐高温防滑台面‌：大理石/石英石材质；</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11.人体工学：边缘圆角处理；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12.橱柜，嵌入式适老下拉篮，升降柜体内带LED灯条；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13.支持后期拓展：燃气自闭阀+烟雾感应自动关火系统+防干烧智能灶具。</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坐式马桶（带壁装扶手）</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7"/>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用于排泄照护训练；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2.参考尺寸：≥48*38*65cm；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3.冲水方式：漩涡虹吸式；充水量3.0～6.0L，承重70kg以上；</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4.排水方式：地排；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5.常规落地连体式；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6.操控方式：遥控器控制；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7.冲洗加热方式：即热式；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8.功能：暖风烘干，臀部清洁，按摩清洗，座圈加热，喷嘴自洁，女性清洗，喷嘴移动清洗，水温调节，坐温调节，柔和夜灯；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9.带壁装扶手：防止老人跌倒，助力马桶扶手，90度折叠收起；主体长度：60cm；内管：不锈钢管；外管：抗菌尼龙。</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A060805 便器</w:t>
            </w:r>
            <w:r>
              <w:rPr>
                <w:rFonts w:hint="eastAsia" w:ascii="宋体" w:hAnsi="宋体" w:eastAsia="宋体" w:cs="宋体"/>
                <w:b/>
                <w:bCs/>
                <w:sz w:val="21"/>
                <w:szCs w:val="21"/>
                <w:highlight w:val="none"/>
              </w:rPr>
              <w:t xml:space="preserve">”品目，投标人须在投标文件中提供</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属于</w:t>
            </w:r>
            <w:r>
              <w:rPr>
                <w:rFonts w:hint="eastAsia" w:ascii="宋体" w:hAnsi="宋体" w:eastAsia="宋体" w:cs="宋体"/>
                <w:b/>
                <w:bCs/>
                <w:sz w:val="21"/>
                <w:szCs w:val="21"/>
                <w:highlight w:val="none"/>
              </w:rPr>
              <w:t xml:space="preserve">国家强制性节能产品品目</w:t>
            </w:r>
            <w:r>
              <w:rPr>
                <w:rFonts w:hint="eastAsia" w:ascii="宋体" w:hAnsi="宋体" w:eastAsia="宋体" w:cs="宋体"/>
                <w:b/>
                <w:bCs/>
                <w:sz w:val="21"/>
                <w:szCs w:val="21"/>
                <w:highlight w:val="none"/>
                <w:lang w:val="en-US" w:eastAsia="zh-CN"/>
              </w:rPr>
              <w:t xml:space="preserve">清单</w:t>
            </w:r>
            <w:r>
              <w:rPr>
                <w:rFonts w:hint="eastAsia" w:ascii="宋体" w:hAnsi="宋体" w:eastAsia="宋体" w:cs="宋体"/>
                <w:b/>
                <w:bCs/>
                <w:sz w:val="21"/>
                <w:szCs w:val="21"/>
                <w:highlight w:val="none"/>
              </w:rPr>
              <w:t xml:space="preserve">内的产品</w:t>
            </w:r>
            <w:r>
              <w:rPr>
                <w:rFonts w:hint="eastAsia" w:ascii="宋体" w:hAnsi="宋体" w:eastAsia="宋体" w:cs="宋体"/>
                <w:b/>
                <w:bCs/>
                <w:sz w:val="21"/>
                <w:szCs w:val="21"/>
                <w:highlight w:val="none"/>
                <w:lang w:val="en-US" w:eastAsia="zh-CN"/>
              </w:rPr>
              <w:t xml:space="preserve">获得</w:t>
            </w:r>
            <w:r>
              <w:rPr>
                <w:rFonts w:hint="eastAsia" w:ascii="宋体" w:hAnsi="宋体" w:eastAsia="宋体" w:cs="宋体"/>
                <w:b/>
                <w:bCs/>
                <w:sz w:val="21"/>
                <w:szCs w:val="21"/>
                <w:highlight w:val="none"/>
              </w:rPr>
              <w:t xml:space="preserve">的由国家确定的认证机构出具的、处于有效期之内的节能产品认证证书</w:t>
            </w:r>
            <w:r>
              <w:rPr>
                <w:rFonts w:hint="eastAsia" w:ascii="宋体" w:hAnsi="宋体" w:eastAsia="宋体" w:cs="宋体"/>
                <w:b/>
                <w:bCs/>
                <w:sz w:val="21"/>
                <w:szCs w:val="21"/>
                <w:highlight w:val="none"/>
                <w:lang w:val="en-US" w:eastAsia="zh-CN"/>
              </w:rPr>
              <w:t xml:space="preserve">电子件</w:t>
            </w:r>
            <w:r>
              <w:rPr>
                <w:rFonts w:hint="eastAsia" w:ascii="宋体" w:hAnsi="宋体" w:eastAsia="宋体" w:cs="宋体"/>
                <w:b/>
                <w:bCs/>
                <w:sz w:val="21"/>
                <w:szCs w:val="21"/>
                <w:highlight w:val="none"/>
              </w:rPr>
              <w:t xml:space="preserve">，证书型号与投标产品一致，加投标人盖公章。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一体化洗漱台盆</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1.包含柜体、台面、化妆镜面、洗手盘、卫浴五金件等；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2.材质：实木+优质金属+陶瓷；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3.参考规格：台面≥1000*550~600*80mm；洗手盘≥580*440mm：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4.功能：下层收纳柜，用于物品储存收纳</w:t>
            </w:r>
            <w:r>
              <w:rPr>
                <w:rFonts w:hint="eastAsia" w:ascii="宋体" w:hAnsi="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淋浴器套装（含淋浴凳及扶手）</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1.套装含淋浴花洒、上翻凳折叠淋浴椅、淋浴适老化扶手；用于训练清洁照护技能；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2.支持两种洗浴方式（可坐可站）；配套上翻凳折叠淋浴椅，内管：不锈钢；外管：抗菌尼龙；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3.花洒：可旋转带升降，适合老人按照高度随意调节；安装方式：挂墙式；冷热水控制：单把双控；材质：不锈钢；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4.含T字扶手：内管：不锈钢；外管：抗菌尼龙；尺寸约：宽50*高70cm，以实际测量为准。</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步入式浴缸</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8"/>
              </w:num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为使用轮椅老年人提供身体清洁照护技能训练；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2.包含：水流气泡按摩系统；大流量龙头+多功能花洒；有色彩疗法；有座椅加热；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3.尺寸参考：≥130*66*100cm；内部：≥108*54*83cm；容量≥200L；</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4.快速进水、快速排水；水力大小可调节；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5.左/右开门可选（根据使用情况）；</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6.有扶手；脚部防滑；恒温；材质表面：亚克力</w:t>
            </w:r>
            <w:r>
              <w:rPr>
                <w:rFonts w:hint="eastAsia" w:ascii="宋体" w:hAnsi="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多功能电控护理床</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9"/>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尺寸：≥200*90*（55~60）cm；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2.可双摇，可三折：床头、中间、床尾能升降，能折叠；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3.配有可收折护栏，均有电动按钮控制；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4.床脚有制动万向轮，配有餐桌、输液架等。</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22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智能监测床垫</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rPr>
              <w:t xml:space="preserve">1.基于大数据和AI技术，精准测量心脑血管系统、呼吸系统等相关指标，生成详细的个人健康</w:t>
            </w:r>
            <w:r>
              <w:rPr>
                <w:rFonts w:hint="eastAsia" w:ascii="宋体" w:hAnsi="宋体" w:eastAsia="宋体" w:cs="宋体"/>
                <w:color w:val="auto"/>
                <w:sz w:val="21"/>
                <w:szCs w:val="21"/>
                <w:highlight w:val="none"/>
                <w:lang w:eastAsia="zh-CN"/>
              </w:rPr>
              <w:t xml:space="preserve">报告</w:t>
            </w:r>
            <w:r>
              <w:rPr>
                <w:rFonts w:hint="eastAsia" w:ascii="宋体" w:hAnsi="宋体" w:eastAsia="宋体" w:cs="宋体"/>
                <w:color w:val="auto"/>
                <w:sz w:val="21"/>
                <w:szCs w:val="21"/>
                <w:highlight w:val="none"/>
              </w:rPr>
              <w:t xml:space="preserve">，预测相关疾病；</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2.无感检测设备，放在床垫下方/座位上即可获取数据，无需额外操作数据自动上传，健康监测方便快捷；</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3.可视化数据，集个人身体数据报表与大屏功能于一体，满足客户不同场景的可视化需求；支持通过 APP、Web端集中管理平台远程查看睡眠实时状态与历史记录等；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4.尺寸参考：≥110*110*40mm；传感带65*720mm±5mm；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5.支持在床/离床监测、体动/翻身监测、心跳频率监测、呼吸频率监测、睡眠状况等监测、SOS一键报警等服务；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6.统计清醒、浅睡、深睡眠周期分布以及睡眠质量评分，支持入睡时间、睡眠时长、起夜的数据监测；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7.还提供早期疾病初筛和风险预警的功能，如房颤、房室阻滞等心脑血管疾病预警，以及呼吸暂停综合征等呼吸系统疾病的提醒；</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8.针对使用者的坐姿、体征、心率和疲劳度进行监测；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9.检测数据支持上传到对应的智慧管理平台。</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床头柜带床头台灯</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1.用于存储物品；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2.尺寸参考：≥40×45×65cm；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3.实木环保材质，带两个抽屉；上面可放台灯；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4.含坐式台灯。</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衣柜</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10"/>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用于存储物品；实木家具；符合人体工程学设计，健康环保；</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2.尺寸参考（单体）：≥200*60*180㎝；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3.配挂衣杆；两门实木衣柜，下方带鞋柜，配20个衣架</w:t>
            </w:r>
            <w:r>
              <w:rPr>
                <w:rFonts w:hint="eastAsia" w:ascii="宋体" w:hAnsi="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桌台椅套装</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11"/>
              </w:num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尺寸参考：≥150*55*75cm；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2.材质：实木；圆弧设计，符合人体工学；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3.包含实木椅，带扶手</w:t>
            </w:r>
            <w:r>
              <w:rPr>
                <w:rFonts w:hint="eastAsia" w:ascii="宋体" w:hAnsi="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智慧照护管理平台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一、系统总体要求</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系统需覆盖居家养老、社区养老、机构养老、家庭养老四大核心养老场景</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系统需提供多端协同应用</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系统需支持多角色权限管控，涵盖管理员、教师、学生、机构角色授权</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系统</w:t>
            </w:r>
            <w:r>
              <w:rPr>
                <w:rFonts w:hint="eastAsia" w:ascii="宋体" w:hAnsi="宋体" w:eastAsia="宋体" w:cs="宋体"/>
                <w:color w:val="000000"/>
                <w:sz w:val="21"/>
                <w:szCs w:val="21"/>
                <w:highlight w:val="none"/>
                <w:lang w:eastAsia="zh-CN"/>
              </w:rPr>
              <w:t xml:space="preserve">须具备</w:t>
            </w:r>
            <w:r>
              <w:rPr>
                <w:rFonts w:hint="eastAsia" w:ascii="宋体" w:hAnsi="宋体" w:eastAsia="宋体" w:cs="宋体"/>
                <w:color w:val="000000"/>
                <w:sz w:val="21"/>
                <w:szCs w:val="21"/>
                <w:highlight w:val="none"/>
              </w:rPr>
              <w:t xml:space="preserve">数据可视化大屏功能，支持自定义显示内容</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系统支持不同厂家、不同品牌、不同传输方式的智能设备有效接入。</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二、技术参数</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1.支持档案管理，人员账号添加删除</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2.支持老人分类、查询</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3.支持消费充值查询</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4.支持血压计、血糖仪、智能手表等智能设备状态管理</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5.支持账户管理、智能卡管理，床位管理、医护管理、财务管理，用药管理等</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6.支持≥10000老人基础数据，100000条信息查询，100并发请求</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7.支持APP管理，如居家、健康、生活服务等功能</w:t>
            </w:r>
            <w:r>
              <w:rPr>
                <w:rFonts w:hint="eastAsia" w:ascii="宋体" w:hAnsi="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8.兼容Windows和国产主流操作系统，支持数据加密传输、存储，支持数据脱敏，支持自动手工备份，支持接入授权。</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b/>
                <w:bCs/>
                <w:color w:val="000000"/>
                <w:sz w:val="21"/>
                <w:szCs w:val="21"/>
                <w:highlight w:val="none"/>
              </w:rPr>
              <w:t xml:space="preserve">★以上系统及技术要求投标人提供承诺函格式自拟。</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智能数据采集终端设备套组</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一、人体红外智能传感器*2</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1.监测日常生活行为习惯并进行长期分析，安全防范和自动监控，对异常状况及时反馈；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2.监测角度正前方120°扇面；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3.安装床边，卫生间，客厅等位置。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二、温湿度智能监测器*2</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1.主动监测室内温湿度情况并推送至网关；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2.低功耗长续航；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3.安装在卧室，客厅等位置。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三、烟雾（烟感）智能监测器*2</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1.主动监测烟雾浓度，超出正常范围，联动报警。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2.通信标准：NB-IOT；认证：CCC，入网；</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3.报警方式：指示灯、无线远程报警；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4.温度检测：温度上报和超限报警；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5.上报间隔：紧急实时，平时24h；</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6.安装在客厅，厨房，卧室等天花板上；</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四、燃气智能监测器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1.监测燃气泄漏并联动触发报警。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2.通信方式：ZigBee等；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3.探测气体：天然气、液化石油气；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4.低功耗长续航，壁挂/吸顶安装；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5.安装在厨房。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五、水浸智能监测器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1.在用水区域监测意外积水、漏水联动报警，用于智能家居及安全报警改造等实训；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2.通信方式：433或ZigBee；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3.安装方式：壁挂安装；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4.探测方式：水感探头。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六、紧急呼叫设备*2</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1.触发报警后紧急联系，用于智能家居安全环境改造实训；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2.按压触发报警，有按压提醒指示灯；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3.自发电无需更换电池，免维护易安装设计；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4.安装客厅、床头，卫生间等位置。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七、自动窗帘机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1.联动窗帘进行自动开合操作。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2.能够连接网关，通过照度感应、App远程操作；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3.安全载重≥50kg；</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4.连续工作时间≥4min；</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5.支持轨道长度≥10m；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八、门磁感应器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1.探测门、窗、抽屉、橱柜、冰箱门等开合场景的状态；监测日常生活行为习惯并进行长期分析，并对异常情况进行报警；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2.布防状态下，打开会触发报警信号发送至报警主机，记录设备监测的门是否有开合；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3.安装冰箱、大门等位置。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九、智能门锁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1.门禁管理、访客管理。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2.多重开锁方式：密码、指纹、IC卡片；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3.支持无线传输协议，支持消息推送传递；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十、智能可视门铃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1.门禁可视化呼叫对讲。</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2.720p分辨率，30fps帧率图像采集；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3.通过Wi-Fi无线接入网络；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十一、AI智能语音交互音响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1.支持语音交互功能；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2.连接方式：Wi-Fi、蓝牙；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3.操控方式：语音、按键。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十二、智能网关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支持ZigBee、Bluetooth协议，接入控制终端和传感器。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十三、智能监测主机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物联网设备基站，满足范围内所有物联网设备数据传输需求。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十四、智能手环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1.用于安全报警改造实训等；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2.具有定位、一键报警功能；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十五、智能网络摄像机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1.随时监测居家安全情况，用于安全报警改造实训。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2.可远程实时查看，并具备对讲功能；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3.需配合网络环境；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十六、智能夜灯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1.夜间起床照明，用于智能家居安全环境设计改造实训等；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2.自动点亮，亮度可调节；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3.120°大角度感应；感知距离5～7m；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4.光敏+红外感应。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十七、智能开关面板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1.控制室内灯光、窗帘开合；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2.单火线设计；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3.支持远程控制。</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运营会议桌</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现代风格，原木色调；整体造型和颜色搭配与主题环境协调；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2.单人位尺寸参考：≥90*55*75cm，根据实施情况可适当调整；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3.材质：钢木结构，桌脚采用优质钢管，除锈、磷化、涂漆；桌面采用优质实木。</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位</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运营会议椅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12"/>
              </w:num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优质网纹布，耐磨透气，承重性强；坐垫海绵：PU高密度定型海绵；</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2.可360度旋转、自由调节升降、可移动、带优质耐磨滚轮；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3.参考尺寸：背高78cm、座高45cm、座宽45cm、椅脚宽52cm；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4.带扶手，配件：优质气压棒，尼龙五星脚，星形轮。</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智能交互教学一体机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pStyle w:val="900"/>
              <w:ind w:left="0" w:firstLine="0"/>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整体</w:t>
            </w:r>
            <w:r>
              <w:rPr>
                <w:rFonts w:hint="eastAsia" w:ascii="宋体" w:hAnsi="宋体" w:eastAsia="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1.屏幕采用86英寸液晶面板；一体化设计；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2.显示比例16:9，分辨率3840*2160；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3.最大屏幕亮度≥300cd/m²</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二、整机设计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1.具备前置物理按键；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2.支持在节能状态下通过长按电源键进入还原界面，可点击屏幕选择安卓系统还原、OPS还原以及正常启动选项，还原操作时需通过密码验证，有效避免误操作；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3.3路USB输入接口（包含1路Type-C、2路USB），前置USB接口支持Android、Windows双系统读取外接移动存储设备；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4.摄像头拍摄像素数≥1300万；摄像头可用于远程巡课、二维码扫描等功能；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5.内置阵列麦克风；麦克风拾音距离≥10米；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6.内置2.2声道音响系统，整机扩声系统总功率不低于60W；</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7.整机内置的蓝牙及Wi-Fi模块支持便捷拆除及恢复，确保特殊应用场景下的信息安全；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8.Wi-Fi制式支持IEEE802.11a/b/g/n/ac/ax；支持Wi-Fi6；</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9.内置高清摄像头，摄像头与整机一体化设计，无任何可见外接线材及模块化拼接痕迹，未占用整机设备端口；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10.整机前置接口具备防撞防尘挡板设计，挡板采用转轴式翻转。防止接口在连接外接设备使用时与推拉板产生碰撞，造成设备损坏，同时有效避免粉尘堵塞接口；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11.整机侧置输入接口具备2路HDMI、1路RS232、1路USB、1路RJ45接口，整机侧置输出接口具备1路音频输出、1路触控USB输出，所有接口具备明显的丝印标识；</w:t>
            </w:r>
            <w:r/>
          </w:p>
          <w:p>
            <w:pPr>
              <w:pStyle w:val="900"/>
              <w:ind w:left="0" w:firstLine="0"/>
              <w:jc w:val="left"/>
              <w:widowControl/>
              <w:rPr>
                <w:rFonts w:hint="eastAsia" w:ascii="宋体" w:hAnsi="宋体" w:eastAsia="宋体" w:cs="宋体"/>
                <w:b/>
                <w:bCs/>
                <w:color w:val="auto"/>
                <w:sz w:val="21"/>
                <w:szCs w:val="21"/>
                <w:highlight w:val="none"/>
                <w:lang w:eastAsia="zh-CN"/>
                <w14:ligatures w14:val="standardContextual"/>
              </w:rPr>
            </w:pPr>
            <w:r>
              <w:rPr>
                <w:rFonts w:hint="eastAsia" w:ascii="宋体" w:hAnsi="宋体" w:eastAsia="宋体" w:cs="宋体"/>
                <w:b/>
                <w:bCs/>
                <w:color w:val="auto"/>
                <w:sz w:val="21"/>
                <w:szCs w:val="21"/>
                <w:highlight w:val="none"/>
                <w14:ligatures w14:val="standardContextual"/>
              </w:rPr>
              <w:t xml:space="preserve">▲12.可以实现一键AI备课；具备AI一键生成教学大纲的功能，教学大纲具备不少于三种样式可选；支持内容AI重写，实现对文字内容进行重写、丰富、精简、改写语气、文本翻译等。支持图片AI优化，AI重新生成图片、AI智能抠图、提取图片内文字内容等。</w:t>
            </w:r>
            <w:r>
              <w:rPr>
                <w:rFonts w:hint="eastAsia" w:ascii="宋体" w:hAnsi="宋体" w:eastAsia="宋体" w:cs="宋体"/>
                <w:b/>
                <w:bCs/>
                <w:color w:val="auto"/>
                <w:sz w:val="21"/>
                <w:szCs w:val="21"/>
                <w:highlight w:val="none"/>
                <w:lang w:eastAsia="zh-CN"/>
                <w14:ligatures w14:val="standardContextual"/>
              </w:rPr>
              <w:t xml:space="preserve">（</w:t>
            </w:r>
            <w:r>
              <w:rPr>
                <w:rFonts w:hint="eastAsia" w:ascii="宋体" w:hAnsi="宋体" w:eastAsia="宋体" w:cs="宋体"/>
                <w:b/>
                <w:bCs/>
                <w:color w:val="auto"/>
                <w:sz w:val="21"/>
                <w:szCs w:val="21"/>
                <w:highlight w:val="none"/>
                <w14:ligatures w14:val="standardContextual"/>
              </w:rPr>
              <w:t xml:space="preserve">需提供CMA或CNAS认证检测机构出具的检测报告扫描件</w:t>
            </w:r>
            <w:r>
              <w:rPr>
                <w:rFonts w:hint="eastAsia" w:ascii="宋体" w:hAnsi="宋体" w:eastAsia="宋体" w:cs="宋体"/>
                <w:b/>
                <w:bCs/>
                <w:color w:val="auto"/>
                <w:sz w:val="21"/>
                <w:szCs w:val="21"/>
                <w:highlight w:val="none"/>
                <w:lang w:eastAsia="zh-CN"/>
                <w14:ligatures w14:val="standardContextual"/>
              </w:rPr>
              <w:t xml:space="preserve">）</w:t>
            </w:r>
            <w:r>
              <w:rPr>
                <w:rFonts w:hint="eastAsia" w:ascii="宋体" w:hAnsi="宋体" w:cs="宋体"/>
                <w:b/>
                <w:bCs/>
                <w:color w:val="auto"/>
                <w:sz w:val="21"/>
                <w:szCs w:val="21"/>
                <w:highlight w:val="none"/>
                <w:lang w:eastAsia="zh-CN"/>
                <w14:ligatures w14:val="standardContextual"/>
              </w:rPr>
              <w:t xml:space="preserve">。</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三、触控系统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采用红外触控技术，支持Windows、Android系统中20点或以上触控；触摸响应时间≤4ms；</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四、电脑模块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1.通用标准80pin接口，即插即用；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2.主板：CPU ≥i5；内存：≥8GB DDR4；硬盘：≥256GB SSD；</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3.机身采用智能风扇低噪音散热设计，确保封闭空间内有效散热；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4.PC模块可抽拉式插入整机，可实现无单独接线的插拔；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5.采用手拧螺丝卡扣，确保PC模块安装固定到位，同时无需工具就可快速拆卸电脑模；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6.具有独立非外扩展的视频输出接口：≥1路HDMI，≥1路DP；</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7.具有独立非外扩展的电脑USB接口：≥3路USB3.0，≥1路USB2.0；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8.具有PC防盗锁功能。</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31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养老机构管理与运营模拟软件（核心产品）</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总体要求：软件须体现以下三大核心功能</w:t>
            </w:r>
            <w:bookmarkStart w:id="125" w:name="OLE_LINK19"/>
            <w:r>
              <w:rPr>
                <w:rFonts w:hint="eastAsia" w:ascii="宋体" w:hAnsi="宋体" w:eastAsia="宋体" w:cs="宋体"/>
                <w:b/>
                <w:bCs/>
                <w:color w:val="auto"/>
                <w:sz w:val="21"/>
                <w:szCs w:val="21"/>
                <w:highlight w:val="none"/>
                <w14:ligatures w14:val="standardContextual"/>
              </w:rPr>
              <w:t xml:space="preserve">（▲提供功能承诺函，格式自拟）</w:t>
            </w:r>
            <w:bookmarkEnd w:id="125"/>
            <w:r>
              <w:rPr>
                <w:rFonts w:hint="eastAsia" w:ascii="宋体" w:hAnsi="宋体" w:eastAsia="宋体" w:cs="宋体"/>
                <w:color w:val="auto"/>
                <w:sz w:val="21"/>
                <w:szCs w:val="21"/>
                <w:highlight w:val="none"/>
                <w14:ligatures w14:val="standardContextual"/>
              </w:rPr>
              <w:t xml:space="preserve">。</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一、接待模拟模块：</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（1）记录来访登记、留言信息，数据上传</w:t>
            </w:r>
            <w:r>
              <w:rPr>
                <w:rFonts w:hint="eastAsia" w:ascii="宋体" w:hAnsi="宋体" w:eastAsia="宋体" w:cs="宋体"/>
                <w:color w:val="auto"/>
                <w:sz w:val="21"/>
                <w:szCs w:val="21"/>
                <w:highlight w:val="none"/>
                <w:lang w:eastAsia="zh-CN"/>
                <w14:ligatures w14:val="standardContextual"/>
              </w:rPr>
              <w:t xml:space="preserve">至</w:t>
            </w:r>
            <w:r>
              <w:rPr>
                <w:rFonts w:hint="eastAsia" w:ascii="宋体" w:hAnsi="宋体" w:eastAsia="宋体" w:cs="宋体"/>
                <w:color w:val="auto"/>
                <w:sz w:val="21"/>
                <w:szCs w:val="21"/>
                <w:highlight w:val="none"/>
                <w14:ligatures w14:val="standardContextual"/>
              </w:rPr>
              <w:t xml:space="preserve">云端。</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（2）室外场景漫游。应包括：行政综合、安康楼、护理楼、老年医疗康复中心、老年康体活动中心等场景；</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（3）室内场景漫游。应包括：单人间居室、双人间居室、四人间居室、失能房间、失智房间、就餐空间、接待空间、康复空间等空间场所；</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（4）虚拟机构场所内配有虚拟人物，带动画效果。</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（5）支持安卓和Windows平台下直接运行，无须安装任何驱动或插件。</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二、运营模拟模块</w:t>
            </w:r>
            <w:r/>
          </w:p>
          <w:p>
            <w:pPr>
              <w:ind w:firstLine="210"/>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运营训练模块至少实现以下十种功能</w:t>
            </w:r>
            <w:r>
              <w:rPr>
                <w:rFonts w:hint="eastAsia" w:ascii="宋体" w:hAnsi="宋体" w:eastAsia="宋体" w:cs="宋体"/>
                <w:b/>
                <w:bCs/>
                <w:color w:val="auto"/>
                <w:sz w:val="21"/>
                <w:szCs w:val="21"/>
                <w:highlight w:val="none"/>
                <w14:ligatures w14:val="standardContextual"/>
              </w:rPr>
              <w:t xml:space="preserve">（</w:t>
            </w:r>
            <w:bookmarkStart w:id="126" w:name="OLE_LINK22"/>
            <w:r>
              <w:rPr>
                <w:rFonts w:hint="eastAsia" w:ascii="宋体" w:hAnsi="宋体" w:eastAsia="宋体" w:cs="宋体"/>
                <w:b/>
                <w:bCs/>
                <w:color w:val="auto"/>
                <w:sz w:val="21"/>
                <w:szCs w:val="21"/>
                <w:highlight w:val="none"/>
              </w:rPr>
              <w:t xml:space="preserve">★</w:t>
            </w:r>
            <w:bookmarkEnd w:id="126"/>
            <w:r>
              <w:rPr>
                <w:rFonts w:hint="eastAsia" w:ascii="宋体" w:hAnsi="宋体" w:eastAsia="宋体" w:cs="宋体"/>
                <w:b/>
                <w:bCs/>
                <w:color w:val="auto"/>
                <w:sz w:val="21"/>
                <w:szCs w:val="21"/>
                <w:highlight w:val="none"/>
                <w14:ligatures w14:val="standardContextual"/>
              </w:rPr>
              <w:t xml:space="preserve">其中1-5项</w:t>
            </w:r>
            <w:r>
              <w:rPr>
                <w:rFonts w:hint="eastAsia" w:ascii="宋体" w:hAnsi="宋体" w:cs="宋体"/>
                <w:b/>
                <w:bCs/>
                <w:color w:val="auto"/>
                <w:sz w:val="21"/>
                <w:szCs w:val="21"/>
                <w:highlight w:val="none"/>
                <w:lang w:val="en-US" w:eastAsia="zh-CN"/>
                <w14:ligatures w14:val="standardContextual"/>
              </w:rPr>
              <w:t xml:space="preserve">基本</w:t>
            </w:r>
            <w:r>
              <w:rPr>
                <w:rFonts w:hint="eastAsia" w:ascii="宋体" w:hAnsi="宋体" w:eastAsia="宋体" w:cs="宋体"/>
                <w:b/>
                <w:bCs/>
                <w:color w:val="auto"/>
                <w:sz w:val="21"/>
                <w:szCs w:val="21"/>
                <w:highlight w:val="none"/>
                <w14:ligatures w14:val="standardContextual"/>
              </w:rPr>
              <w:t xml:space="preserve">功能必须提供截图）</w:t>
            </w:r>
            <w:r>
              <w:rPr>
                <w:rFonts w:hint="eastAsia" w:ascii="宋体" w:hAnsi="宋体" w:eastAsia="宋体" w:cs="宋体"/>
                <w:color w:val="auto"/>
                <w:sz w:val="21"/>
                <w:szCs w:val="21"/>
                <w:highlight w:val="none"/>
                <w14:ligatures w14:val="standardContextual"/>
              </w:rPr>
              <w:t xml:space="preserve">：（1）赛程控制；（2）进度监控；（3）成绩管理；（4）参观路线讲解；（5）老人入离院管理；（6）参观路线规划；（7）贷款与还款；（8）广告投放策略；（9）护理员分组；（10）楼栋管理；（11）选址租赁；（12）团队组建与管理；（13）签订统计；（14）广告投放管理；（15）护理员排班情况。</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三、照护模拟模块：</w:t>
            </w:r>
            <w:r/>
          </w:p>
          <w:p>
            <w:pPr>
              <w:ind w:firstLine="210"/>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（1）模拟真实养老照护场景，根据赛事操作要求和教学实操标准设计，模块包含1套模拟实操题，具有备物（料）、操作、答题、分数查看、历史数据等功能。</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（2）系统能够进行知识点、操作要点及实操流程的仿真实训考核，记录操作过程中的数据，包括时间、备物、实操步骤、成绩等，并对学生的掌握情况进行评估和反馈。</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四、其他</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14:ligatures w14:val="standardContextual"/>
              </w:rPr>
              <w:t xml:space="preserve">8.含学生训练终端3个，参数要求：ARMSC 300 安全智能卡芯片。</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自动晾衣架</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1.直流双涡轮电机、无线遥控；升降高度120cm，主晾干宽距约48cm，晾干间距约21cm，晾衣孔≥16个；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2.主机尺寸参考：≥100*30*60cm；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3.含置物篮，遥控升降，风干，烘干，照明系统。</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茶艺高级长条桌</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参考尺寸：200*70*75cm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1.采用实木制作榫卯结构，坚固大方、稳定耐用，做工优良、工艺精湛；</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2.新中式风格，采用优质蜡油保护，开放式健康环保油漆；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3.边角经过严格的打磨与抛光，去丝处理；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4.茶艺实训桌预留嵌入式煮茶壶位置，配套煮茶器使用；另下方预留茶桶位置。</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茶艺椅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13"/>
              </w:num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材质：实木；高级茶椅，榫卯结构，坚固大方、稳定耐用；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4.参考尺寸：55*50*45cm；（±5cm）；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2.新中式风格；</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3.优质蜡油保护，开放式健康环保油漆；边角经过严格的打磨与抛光，去丝处理，保护健康。</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10</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茶具套装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1.白瓷盖碗：约200ml，1个；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2.白瓷品茗杯：容量约53ml，3个；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3.白瓷杯垫：圆形φ约8.8cm，3个；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4.白瓷茶海：长约8cm高约9cm，1个；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5.提梁壶（瓷壶）：陶质，约0.65L，1个；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6.竹制茶荷：长约185mm×宽约65mm，1个；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7.瓷水盂：φ约10cm；容量约0.5L，1个；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8.茶叶罐：瓷质容量约240ml，1个；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9.茶匙（茶拔）：长约185mm，1个；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10.茶匙架：约长约50mm，1个；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11.茶巾：棉质，深色，约30cm*30cm，1条</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盥洗/烧水台定制</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1.材质：强化复合人造石+实木+不锈钢；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2.参考规格：W≥55cm；H≥85cm；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3.包含柜体、台面、盥洗盆≥2、五金件等；含进水管和排水管的铺设，可旋转长嘴不锈钢水龙头；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4.功能：部署取电口≥10个；下层收纳柜，用于物品储存收纳等。</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米</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3.5</w:t>
            </w:r>
            <w:r/>
          </w:p>
        </w:tc>
      </w:tr>
      <w:tr>
        <w:trPr>
          <w:trHeight w:val="255"/>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储存收纳柜定制</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1.现场定制；用于物品储存、收纳、展示等；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2、参考规格：35*200cm；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3、整体要求：现代简约风格、美观实用；主色系默认原木色系，特殊要求除外；整体造型和颜色搭配与空间环境协调；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4、材质</w:t>
            </w:r>
            <w:r>
              <w:rPr>
                <w:rFonts w:hint="eastAsia" w:ascii="宋体" w:hAnsi="宋体" w:cs="宋体"/>
                <w:color w:val="000000"/>
                <w:sz w:val="21"/>
                <w:szCs w:val="21"/>
                <w:highlight w:val="none"/>
                <w:lang w:eastAsia="zh-CN"/>
              </w:rPr>
              <w:t xml:space="preserve">：以</w:t>
            </w:r>
            <w:r>
              <w:rPr>
                <w:rFonts w:hint="eastAsia" w:ascii="宋体" w:hAnsi="宋体" w:eastAsia="宋体" w:cs="宋体"/>
                <w:color w:val="000000"/>
                <w:sz w:val="21"/>
                <w:szCs w:val="21"/>
                <w:highlight w:val="none"/>
              </w:rPr>
              <w:t xml:space="preserve">优质环保免漆生态板为基材，优质五金件</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米</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6.5</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观摩窗（透视窗）</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1.采用8—12mm优质钢化玻璃，隔音效果好；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2.规格参考：长≥5米；采用上往下斜装方式；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3.采用优质不锈钢窗套包边；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4.墙体厚度≥12cm</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移动组合桌</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14"/>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桌架采用厚度≥1.5mm钢管；顶板厚度≥2.0mm冲压</w:t>
            </w:r>
            <w:r>
              <w:rPr>
                <w:rFonts w:hint="eastAsia" w:ascii="宋体" w:hAnsi="宋体" w:eastAsia="宋体" w:cs="宋体"/>
                <w:color w:val="000000"/>
                <w:sz w:val="21"/>
                <w:szCs w:val="21"/>
                <w:highlight w:val="none"/>
                <w:lang w:eastAsia="zh-CN"/>
              </w:rPr>
              <w:t xml:space="preserve">成型</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2.台面≥25mm高密度板，挡板≥15mm；静电高温喷涂工艺，表面硬度达3H；同色PVC封边；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3.优质滚轮及刹车轮，使用时不移动；整桌可90度折叠，不使用时节省空间；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4.平衡码：1）可固定拼接、整体移动，2）可固定桌面平整；                                                                                        5.参考规格：长条形≥W120*D55*H75cm；扇形：W727*D573*H750；六套扇形桌整合直径≥160cm</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位</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移动折叠椅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15"/>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面料：优质网布，防磨防污性好；颜色可选，背架PA+30%玻纤；</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2.辅料：≥45#高密度、高弹力定型海绵，可防氧化、防碎，软硬适中，回弹性良好，不易变形；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3.扶手：PA+30%玻纤扶手、耐磨；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4.架子：≥32.5*20.5*T1.5mm厚，Q235碳素钢；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5.功能：</w:t>
            </w:r>
            <w:r>
              <w:rPr>
                <w:rFonts w:hint="eastAsia" w:ascii="宋体" w:hAnsi="宋体" w:cs="宋体"/>
                <w:color w:val="000000"/>
                <w:sz w:val="21"/>
                <w:szCs w:val="21"/>
                <w:highlight w:val="none"/>
                <w:lang w:val="en-US" w:eastAsia="zh-CN"/>
              </w:rPr>
              <w:t xml:space="preserve">座椅</w:t>
            </w:r>
            <w:r>
              <w:rPr>
                <w:rFonts w:hint="eastAsia" w:ascii="宋体" w:hAnsi="宋体" w:eastAsia="宋体" w:cs="宋体"/>
                <w:color w:val="000000"/>
                <w:sz w:val="21"/>
                <w:szCs w:val="21"/>
                <w:highlight w:val="none"/>
              </w:rPr>
              <w:t xml:space="preserve">板可翻起、可全折叠；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6.尺寸参考：≥L610*W555*H835。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千兆网络交换机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pStyle w:val="900"/>
              <w:numPr>
                <w:ilvl w:val="0"/>
                <w:numId w:val="16"/>
              </w:numPr>
              <w:ind w:left="0" w:firstLine="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机身固化10/100/1000M以太网电接口≥26个，固化SFP千兆光接口≥2个，固化SFP+万兆光接口≥2个，交流电源≥1个；</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2.支持Console口（RJ45）、带外管理口（RJ45）、USB接口、Reset键；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3.交换容量≥5.98Tbps，包转发率≥252Mpps；设备1U高，深度≤242mm；满负荷情况下功耗≤26W；支持静态路由、RIPV1/2、RIPng、OSPF、OSPFv3、IS-IS、IS-ISv6、BGP、BGP4+、ECMP、路由策略；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功能：（1）端口支持8KV防雷；（2）支持OpenFlow1.3功能；（3）支持能效以太网（802.3azEEE）、sFlow和以太网OAM；（4）端口LED灯自动节能功能；（5）设备断电告警；CPU镜像；ARP自动防御；安全防护特性（防DOS攻击，CPU安全防护）；支持动态ARP检测。</w:t>
            </w:r>
            <w:r/>
          </w:p>
          <w:p>
            <w:pPr>
              <w:pStyle w:val="900"/>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▲支持≥16台横向虚拟化功能，实现多个物理设备虚拟为一个逻辑设备进行管理的虚拟化功能。同时支持纵向虚拟化功能，接入交换机作为核心交换机的端口扩展板卡进行配置统一管理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支持≥128台设备虚拟成一台设备；</w:t>
            </w:r>
            <w:r>
              <w:rPr>
                <w:rFonts w:hint="eastAsia" w:ascii="宋体" w:hAnsi="宋体" w:eastAsia="宋体" w:cs="宋体"/>
                <w:b/>
                <w:bCs/>
                <w:color w:val="auto"/>
                <w:sz w:val="21"/>
                <w:szCs w:val="21"/>
                <w:highlight w:val="none"/>
              </w:rPr>
              <w:t xml:space="preserve">提供官网截图或第三方检测机构检测报告</w:t>
            </w:r>
            <w:r>
              <w:rPr>
                <w:rFonts w:hint="eastAsia" w:ascii="宋体" w:hAnsi="宋体" w:eastAsia="宋体" w:cs="宋体"/>
                <w:b/>
                <w:bCs/>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高密度增容型无线路由</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1.智能双频段企业级无线路由；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2.频率范围：双频段，信号更强：含2.4GHz频段和5GHz频段；</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3.传输速率：≥1200M，稳定的千兆无线路由；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4.网络接口：≥5个10/100/1000Mbps千兆端口，可带动≥100台网络终端；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5.天线数量：4根天线；天线增益：5dBi；</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6.智慧功能：微信连wifi/防火墙/上网行为管理/VPN/一键拉黑。</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1937"/>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themeColor="text1"/>
                <w:sz w:val="21"/>
                <w:szCs w:val="21"/>
                <w:highlight w:val="none"/>
                <w14:textFill>
                  <w14:solidFill>
                    <w14:schemeClr w14:val="tx1"/>
                  </w14:solidFill>
                </w14:textFill>
                <w14:ligatures w14:val="standardContextual"/>
              </w:rPr>
              <w:t xml:space="preserve">天花吸顶空调</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1.5匹冷暖天花机、一级能效；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2.电压/频率：380V/50Hz；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3.制冷量：≥12000W；制热量：≥13600W；</w:t>
            </w:r>
            <w:r/>
          </w:p>
          <w:p>
            <w:pPr>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color w:val="000000"/>
                <w:sz w:val="21"/>
                <w:szCs w:val="21"/>
                <w:highlight w:val="none"/>
                <w:lang w:val="en-US" w:eastAsia="zh-CN" w:bidi="ar"/>
              </w:rPr>
              <w:t xml:space="preserve">A020523 制冷空调设备</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611"/>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综合布线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1.设计部署</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（1）依据国际布线标准ISO/IEC11801:1995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E）和ANSI/TIA/EIA568A；</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（2）参照《中国建筑电气设计规范》《建筑与建筑群综合布线系统工程设计规范》；《建筑与建筑群综合布线系统工程施工及验收规范》（中国工程建设标准化协会标准）；《结构化布线系统设计总则》等；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2.总体要求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（1）一般采用暗线，在地面或墙面开挖线槽，主区线缆走地面线槽通过支管到各终端；通过桌脚钢管通往桌面，避免线头外露，确保安全美观；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（2）特别情况走明线的，须用合金或不锈钢线管包覆；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（3）插线盒一般部署在桌面或桌脚处、嵌入式；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（4）从数据中心至项目实施地点12芯室外铠装光缆约500米，提供光纤容积、光模块。</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270</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基础装修改造</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ind w:left="0" w:firstLine="0"/>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一、地面装饰处理：270㎡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采用3.0mm厚商用PVC塑胶卷材地板，产品须符合GB/T 11982.1-2022、GB18586-2021及GB</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8624-2012标准。</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地板总厚度≥3.0mm，耐磨层厚度≥0.7mm，耐磨等级T级，耐磨转数≥10000转，防火等级B1级，残余凹陷≤0.10mm，尺寸稳定性≤0.2%。</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产品环保性能须满足甲醛未检出，重金属及增塑剂符合国标限量要求。</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施工前基层须做界面剂处理及C20自流平水泥找平，采用环保水性专用胶水铺设，板缝热熔焊接，整体无缝、平整、防滑、耐磨、易清洁</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（开工前须提供有效期内的产品检测报告、防火检测报告、环保检测报告等证明文件）</w:t>
            </w:r>
            <w:r>
              <w:rPr>
                <w:rFonts w:hint="eastAsia" w:ascii="宋体" w:hAnsi="宋体" w:eastAsia="宋体" w:cs="宋体"/>
                <w:color w:val="000000"/>
                <w:sz w:val="21"/>
                <w:szCs w:val="21"/>
                <w:highlight w:val="none"/>
              </w:rPr>
              <w:t xml:space="preserve">。</w:t>
            </w:r>
            <w:r/>
          </w:p>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结合强弱电综合布线、给排水等预制工序综合施工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二、天花墙面装饰处理：270㎡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1.材质：优质环保腻子粉、乳胶漆、阴阳角条；</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进场前提供腻子粉、乳胶漆环保认证证书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br/>
            </w:r>
            <w:r>
              <w:rPr>
                <w:rFonts w:hint="eastAsia" w:ascii="宋体" w:hAnsi="宋体" w:eastAsia="宋体" w:cs="宋体"/>
                <w:color w:val="000000"/>
                <w:sz w:val="21"/>
                <w:szCs w:val="21"/>
                <w:highlight w:val="none"/>
              </w:rPr>
              <w:t xml:space="preserve">2.做法：根据项目情况，综合采用原墙面批灰、腻子填充、平整、粉刷、二次粉刷；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3.颜色：主体白色，根据情况色彩搭配；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五、灯光照明：一项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1.根据施工图或参考效果图，遵循国家和行业相关标准，综合设计采购并安装灯光照明设备；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2.功能性原则：根据不同空间、不同场合、不同应用对象选择不同的照明方式和灯具，并保证照度均匀，平均照度要求≥500Lux</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270</w:t>
            </w:r>
            <w:r/>
          </w:p>
        </w:tc>
      </w:tr>
      <w:tr>
        <w:trPr>
          <w:trHeight w:val="400"/>
        </w:trPr>
        <w:tc>
          <w:tcPr>
            <w:gridSpan w:val="5"/>
            <w:tcBorders>
              <w:top w:val="single" w:color="000000" w:sz="4" w:space="0"/>
              <w:left w:val="single" w:color="000000" w:sz="4" w:space="0"/>
              <w:bottom w:val="single" w:color="000000" w:sz="4" w:space="0"/>
              <w:right w:val="none" w:color="000000" w:sz="4" w:space="0"/>
            </w:tcBorders>
            <w:tcW w:w="9869" w:type="dxa"/>
            <w:vAlign w:val="center"/>
            <w:textDirection w:val="lrTb"/>
            <w:noWrap w:val="false"/>
          </w:tcPr>
          <w:p>
            <w:pPr>
              <w:jc w:val="left"/>
              <w:widowControl/>
              <w:rPr>
                <w:rFonts w:hint="eastAsia" w:ascii="宋体" w:hAnsi="宋体" w:eastAsia="宋体" w:cs="宋体"/>
                <w:b/>
                <w:bCs/>
                <w:sz w:val="21"/>
                <w:szCs w:val="21"/>
                <w:highlight w:val="none"/>
                <w14:ligatures w14:val="standardContextual"/>
              </w:rPr>
            </w:pPr>
            <w:r>
              <w:rPr>
                <w:rFonts w:hint="eastAsia" w:ascii="宋体" w:hAnsi="宋体" w:eastAsia="宋体" w:cs="宋体"/>
                <w:b/>
                <w:bCs/>
                <w:sz w:val="21"/>
                <w:szCs w:val="21"/>
                <w:highlight w:val="none"/>
                <w14:ligatures w14:val="standardContextual"/>
              </w:rPr>
              <w:t xml:space="preserve">二、健康综合照护实训中心</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普通护理床</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1.参考尺寸：≥200*90*（55-60）cm；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2.材质：ABS蓝色床头，铝合金护栏，冲孔床板；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3.床架整齐、表面无锋棱、焊接牢固、焊缝光滑均匀；</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4.带静音轮、附输液架。</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多功能电控护理床</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1.尺寸：≥200*90*（55-60）cm；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2.可双摇，可三折：床头、中间、床尾能升降，能折叠；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3.配有可收折护栏，均有电动按钮控制；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4.床脚有制动万向轮，配有餐桌、输液架等。</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床旁桌椅</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1.床旁桌：用于摆放物品；上部为抽屉，下部为单开门储物柜；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2.尺寸参考：≥480*480*760mm，与护理配套；材质：ABS高档塑料；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3.床旁椅：可折叠设计；尺寸参考：≥450*810mm</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床头设备带</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1.模拟病房床头设备带，配床号、床头灯（灯管灯罩）、管道吸氧接口（氧气终端）、负压吸引接口（吸引终端）、电源、插座、开关、线材等装置；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·供氧终端外置插口（3代压式）1个；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·吸引终端外置插口（3代压式）1个；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·床头日光灯1个；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·呼叫按键盒子1个；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·10A/250V三位电源插座1个；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·SHQ－1氧气湿化器1个；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·1升吸引瓶1个；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·相关接口及配件等；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2.参考规格：150mm宽设备带及管路2米（平均值）；</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3.呼叫系统：显示病床的呼叫信息，显示时间；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4.支持模拟练习墙壁式氧气表（用于供氧：由湿化瓶、流量表、流量表开关组成）；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5.优质铝合金成型喷塑而成，后期可安装各类终端设备；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6.表面无尘烤漆，防静电设计；组合式安装方便</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床上用品套件</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1.用于基础照护技能训练，以下各一件；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2.床垫：≥200cm×90cm×10cm。材料：高弹海绵、半棕半海绵或全棕外包帆布；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3.床褥：≥200cm×90cm、有布套的棉褥；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4.棉胎：≥230cm×160cm；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5.枕芯：≥60cm×40cm（填充物为高弹棉等）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6.大单：≥250cm×180cm；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7.被套：≥250cm×170cm；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8.枕套：≥75cm×45cm；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9.中单：≥140cm×85cm。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平车</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1.尺寸参考：≥190×60×80cm；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2.产品组成：由担架床、床挡、车闸、输液架、车架等组成；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3.材料：医用不锈钢。</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辆</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轮椅</w:t>
            </w:r>
            <w:r/>
          </w:p>
        </w:tc>
        <w:tc>
          <w:tcPr>
            <w:tcBorders>
              <w:top w:val="none" w:color="000000" w:sz="4" w:space="0"/>
              <w:left w:val="none" w:color="000000" w:sz="4" w:space="0"/>
              <w:bottom w:val="none" w:color="000000" w:sz="4" w:space="0"/>
              <w:right w:val="non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1.用于移乘、转运训练；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2.可折叠，扶手和靠背可拆卸；</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3.高性能尼龙椅面，载重≥100kg；</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4.配有车闸、活动脚托、固定安全带等装置；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5.材质为不锈钢车身。</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辆</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助行器（各类）</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1.用于下肢力量不充分或平衡不佳者使用，用于转移和步行训练，辅助代步用具，恢复日常行走功能；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2.铝合金材质，高度可调；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框式助行器：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1.高度≥75cm；最大宽度≥54cm，最大长度≥45cm；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2.可折叠，高度可调节；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（二）轮式助行器（双轮助行器）：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1.万向轮助行器，可折叠；</w:t>
            </w:r>
            <w:r>
              <w:rPr>
                <w:rFonts w:hint="eastAsia" w:ascii="宋体" w:hAnsi="宋体" w:eastAsia="宋体" w:cs="宋体"/>
                <w:color w:val="000000"/>
                <w:sz w:val="21"/>
                <w:szCs w:val="21"/>
                <w:highlight w:val="none"/>
                <w:lang w:eastAsia="zh-CN"/>
              </w:rPr>
              <w:t xml:space="preserve">配备</w:t>
            </w:r>
            <w:r>
              <w:rPr>
                <w:rFonts w:hint="eastAsia" w:ascii="宋体" w:hAnsi="宋体" w:eastAsia="宋体" w:cs="宋体"/>
                <w:color w:val="000000"/>
                <w:sz w:val="21"/>
                <w:szCs w:val="21"/>
                <w:highlight w:val="none"/>
              </w:rPr>
              <w:t xml:space="preserve">耐磨橡胶底托；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2.支撑架管径≥2cm；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3.参考尺寸≥52*47*(73-88)cm。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全功能老年护理人员（男/女）</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一、全身男性老年模拟人、无创血压模拟器为一体，根据男性老年人的生理特征设计，专供临床护理技能训练；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二、模型采用PVC材料，质地优良，环保，制作逼真，易于清洗；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三、功能特点：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1.洗头发、洗脸；</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2.瞳孔观察：正常、散大、缩小直观对比；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3.眼耳清洗滴药；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4.助听器取出和插入；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5.口腔护理、假牙护理；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6.口鼻气管插管时，支持听诊检测插管位置；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7.气管切开护理；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8.吸痰法；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9.氧气吸入法；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10.口鼻饲法；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11.洗胃法；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12.手臂静脉穿刺、注射、输液（血）；</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13.三角肌皮下注射；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14.股外侧肌内注射；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15.胸腔、骨髓、腰椎穿刺；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16.灌肠法；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17.男/女性导尿术；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18.男/女性膀胱冲洗；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19.男性前列腺检查，有包皮；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20.造瘘引流术；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21.结肠造瘘术；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22.臀部</w:t>
            </w:r>
            <w:r>
              <w:rPr>
                <w:rFonts w:hint="eastAsia" w:ascii="宋体" w:hAnsi="宋体" w:eastAsia="宋体" w:cs="宋体"/>
                <w:color w:val="000000"/>
                <w:sz w:val="21"/>
                <w:szCs w:val="21"/>
                <w:highlight w:val="none"/>
                <w:lang w:eastAsia="zh-CN"/>
              </w:rPr>
              <w:t xml:space="preserve">肌内注射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23.大面积骶骨位置溃烂；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24.癌症肿块的对比；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25.皮褶皱对比；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26.整体护理：擦洗、穿换衣服、冷热疗法；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27.四肢关节逼真，模拟关节僵硬，躯干部可前倾，可坐轮椅；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A：躯干：旋转、曲伸；</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B：颈部：旋转、曲伸、侧弯；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C：肩部和臀部：内收、外展、旋转、曲伸；</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D：肘部：旋内、旋外；</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E：膝部：旋内、旋外；</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F：腕部：旋内、曲伸、伸展、弯曲；</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G：踝部：内翻、外翻、内收、外展。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28.无创血压测量：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A：收缩压和舒张压可单独放置，每次为1mmHg；</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B：收缩压0-300mmHg，舒张压0-300mmHg；</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C：科罗特科夫音量可从0-9进行调节。</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气垫褥</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1.用于压疮预防及照护技能训练；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2.尺寸参考：≥200cm×90cm；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3.可充气，供卧床病人预防压疮使用。</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床</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压疮仿真模型</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1.尺寸参考：≥高宽厚26*32*14cm，以实际测量为准；材质：PVC；</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2.以长期卧床病人为样本，显示压疮的临床分期；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3.显示压疮的各种病理表现：压疮炎症、疱疹、溃疡、窦道、瘘管、腐肉、坏死、焦痂、骨头暴露以及继发感染等；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第I期：淤血红润期；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第Ⅱ期：炎症浸润期；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第Ⅲ期：浅度溃疡期；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第Ⅳ期：坏死溃疡期。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4.练习压疮伤口清洗；测量伤口的长度、宽度和深度等</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操作台</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1.定制、用于设备操作、物品存放等；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2.参考尺寸（W*H）：≥60*120cm；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3.材质：实木多层板；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4.整体要求：现代简约风格；主色系统一默认鲜亮清爽色系：如白色、现代灰、亮色，特殊要求除外；整体造型和颜色搭配与主题环境协调</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治疗车</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1.用于盛放照护物品；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2.材质：不锈钢；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3.尺寸参考：（60~80）*（40~50）*（75~88）cm；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4.上部带抽屉，静音滑道；</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5.配污物桶或污物盆。配置四个静音耐磨万向脚轮</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辆</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（晨间）护理车</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1.尺寸：≥90cm×45cm×85cm；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2.三层、配有污物袋；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3.材料：不锈钢；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4.配置四个静音耐磨万向脚轮。</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辆</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早老干预系统</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17"/>
              </w:numPr>
              <w:jc w:val="left"/>
              <w:rPr>
                <w:rFonts w:hint="eastAsia" w:ascii="宋体" w:hAnsi="宋体" w:eastAsia="宋体" w:cs="宋体"/>
                <w:b/>
                <w:bCs/>
                <w:color w:val="auto"/>
                <w:sz w:val="21"/>
                <w:szCs w:val="21"/>
                <w:highlight w:val="none"/>
                <w14:ligatures w14:val="standardContextual"/>
              </w:rPr>
            </w:pPr>
            <w:r>
              <w:rPr>
                <w:rFonts w:hint="eastAsia" w:ascii="宋体" w:hAnsi="宋体" w:eastAsia="宋体" w:cs="宋体"/>
                <w:b/>
                <w:bCs/>
                <w:color w:val="auto"/>
                <w:sz w:val="21"/>
                <w:szCs w:val="21"/>
                <w:highlight w:val="none"/>
                <w14:ligatures w14:val="standardContextual"/>
              </w:rPr>
              <w:t xml:space="preserve">提供认知评定和早老康复训练（</w:t>
            </w:r>
            <w:r>
              <w:rPr>
                <w:rFonts w:hint="eastAsia" w:ascii="宋体" w:hAnsi="宋体" w:eastAsia="宋体" w:cs="宋体"/>
                <w:b/>
                <w:bCs/>
                <w:color w:val="auto"/>
                <w:sz w:val="21"/>
                <w:szCs w:val="21"/>
                <w:highlight w:val="none"/>
              </w:rPr>
              <w:t xml:space="preserve">▲提供功能承诺函，格式自拟）</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14:ligatures w14:val="standardContextual"/>
              </w:rPr>
              <w:t xml:space="preserve">1.</w:t>
            </w:r>
            <w:r>
              <w:rPr>
                <w:rFonts w:hint="eastAsia" w:ascii="宋体" w:hAnsi="宋体" w:eastAsia="宋体" w:cs="宋体"/>
                <w:color w:val="auto"/>
                <w:sz w:val="21"/>
                <w:szCs w:val="21"/>
                <w:highlight w:val="none"/>
                <w14:ligatures w14:val="standardContextual"/>
              </w:rPr>
              <w:t xml:space="preserve">提供多种记忆功能障碍测评和多种传统筛查方案，包括定向、知觉、视动作组织、思维运作、注意和集中力等。</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2、查询结果评估以图形化得分，图形化对比，剖面图等多种显示方式。</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3、系统可将不同时期，不同种类的多个评定结果自动综合到同一评定报单上。系统可设定≤30分钟自由训练时间。</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4、使用用户的实际照片，声音，视频等素材，进行回忆性刺激训练。</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二、可进行系统性评估，包括多种筛查测验，提供国家标准规范的老年人能力评估表。含有认知及痴呆脑功能：注意、记忆、计算、思维、知觉等专项测试。</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三、具有报告整合功能：可将不同模块中多个评定的多次评估结果综合到一张报告单中，体现高端康复专业水平。</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四、具有双屏分控功能：控制屏面向治疗师，呈现全局内容；患者屏面向患者，只呈现与患者相关的内容。</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五、硬件模块：台式CPU:≥i5-12400，内存：16G，硬盘：256G+1TB，≥23.8寸显示器。</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六、打印模块：打印速度黑白：20ppm，彩色：16ppm，最高分辨率1200×1200dpi，最大打印幅面A4，一体式墨盒。</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七、专用台车：双屏构架，带可滑动转向轮，材质：塑料、带四个转向轮可任意移动、带抽屉一个。</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分组可视化高清实训示教主机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auto"/>
                <w:sz w:val="21"/>
                <w:szCs w:val="21"/>
                <w:highlight w:val="none"/>
                <w:lang w:eastAsia="zh-CN"/>
                <w14:ligatures w14:val="standardContextual"/>
              </w:rPr>
            </w:pPr>
            <w:r>
              <w:rPr>
                <w:rFonts w:hint="eastAsia" w:ascii="宋体" w:hAnsi="宋体" w:eastAsia="宋体" w:cs="宋体"/>
                <w:color w:val="auto"/>
                <w:sz w:val="21"/>
                <w:szCs w:val="21"/>
                <w:highlight w:val="none"/>
              </w:rPr>
              <w:t xml:space="preserve">1.录制、点播、视频管理、用户管理功能；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2.支持≥10路高清摄像机信号输入；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3.支持网络视频信号接入；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4.支持≥1音频输入、2组USB输入接口、1音频输出接口，≥1组HDMI输出，支持鼠标、键盘、显示器接入；≥100/1000M自适应网卡，配备≥2TSSD</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分组可视化流媒体系统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18"/>
              </w:num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支持IE、360、谷歌等主流浏览器访问；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2.支持≥10路高清信号处理；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3.支持进行快速点评及自定义点评，数据汇总；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4.支持视频自动剪辑；</w:t>
            </w:r>
            <w:r/>
          </w:p>
          <w:p>
            <w:pPr>
              <w:jc w:val="left"/>
              <w:widowControl/>
              <w:rPr>
                <w:rFonts w:hint="eastAsia" w:ascii="宋体" w:hAnsi="宋体" w:eastAsia="宋体" w:cs="宋体"/>
                <w:color w:val="auto"/>
                <w:sz w:val="21"/>
                <w:szCs w:val="21"/>
                <w:highlight w:val="none"/>
                <w:lang w:eastAsia="zh-CN"/>
                <w14:ligatures w14:val="standardContextual"/>
              </w:rPr>
            </w:pPr>
            <w:r>
              <w:rPr>
                <w:rFonts w:hint="eastAsia" w:ascii="宋体" w:hAnsi="宋体" w:eastAsia="宋体" w:cs="宋体"/>
                <w:color w:val="auto"/>
                <w:sz w:val="21"/>
                <w:szCs w:val="21"/>
                <w:highlight w:val="none"/>
              </w:rPr>
              <w:t xml:space="preserve">5.视频支持H.264编码方式，视频管理，下载、修改、删除等，支持自动上传云平台；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6.实训画面的直播监看，支持信息分类管理，自定义存储，导入课程目录；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7.支持视频检索，远程控制，网络监测，视频实时监看</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4K超融合多视窗智能调度系统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auto"/>
                <w:sz w:val="21"/>
                <w:szCs w:val="21"/>
                <w:highlight w:val="none"/>
                <w:lang w:eastAsia="zh-CN"/>
                <w14:ligatures w14:val="standardContextual"/>
              </w:rPr>
            </w:pPr>
            <w:r>
              <w:rPr>
                <w:rFonts w:hint="eastAsia" w:ascii="宋体" w:hAnsi="宋体" w:eastAsia="宋体" w:cs="宋体"/>
                <w:color w:val="auto"/>
                <w:sz w:val="21"/>
                <w:szCs w:val="21"/>
                <w:highlight w:val="none"/>
              </w:rPr>
              <w:t xml:space="preserve">一、触摸实时调度控制主机：1.支持≥12画面调度；2.根据需要切换监视画面和录制画面；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二、调度系统：1.支持≥16路视频信号源预览；2.支持自定义分屏，支持分组管控</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4K超融合多视窗视频处理系统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auto"/>
                <w:sz w:val="21"/>
                <w:szCs w:val="21"/>
                <w:highlight w:val="none"/>
                <w:lang w:eastAsia="zh-CN"/>
                <w14:ligatures w14:val="standardContextual"/>
              </w:rPr>
            </w:pPr>
            <w:r>
              <w:rPr>
                <w:rFonts w:hint="eastAsia" w:ascii="宋体" w:hAnsi="宋体" w:eastAsia="宋体" w:cs="宋体"/>
                <w:color w:val="auto"/>
                <w:sz w:val="21"/>
                <w:szCs w:val="21"/>
                <w:highlight w:val="none"/>
              </w:rPr>
              <w:t xml:space="preserve">1.视频处理器：≥2HDMI输出接口，高画面输出，支持千兆网口≥2；支持≥16路解码输出；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2.流媒体转发：支持≥16路单播、组播功能，支持水印，支持AAC、MP3、MPEG2等音频编码格式</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HDMI分配器</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HDMI一分八 支持4K向下兼容</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21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智能高清摄像机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1.信号系统：1080p60,1080p50,1800i60,1080i50,1080p30,1080p25,720p60,720p50；</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2.镜头：12x；传感器：1/2.7英寸，有效像素：≥200万；</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3.支持背光补偿；2D&amp;3D数字降噪；</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4.白平衡：自动；</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5.视频编码：H.265/ H.264/ MJPEG；</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6.网络接口：1路；RJ45:10M/100M自适应以太网口。</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分组万向臂架</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1.一体化内部隐线设计；连接线缆隐藏在转臂内部；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2.转臂可折叠靠边，形成收缩，节省空间；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3.吊杆长度跟进现场定制合理长度；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4.吊杆可自由调节高低尺寸使用，支持多点水平≥360度转动，上下垂直≥70度转动；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5.万向支臂悬臂：水平展开最长度为≥1.7米；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6.支持多角度任意悬停，可任意调整托架角度和方向。</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POE千兆交换机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1.二层非网管交换机，标准19英寸1U高机架设备；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2.交换容量：52Gbps；</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3.包转发率：38.69Mpps；</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4.≥24个10/100/1000Mbps 自适应电口交换机（支持POE/POE+，POE功率370W）</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5.支持云端发现，云端查看设备状态</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网络机柜</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ff"/>
                <w:sz w:val="21"/>
                <w:szCs w:val="21"/>
                <w:highlight w:val="none"/>
              </w:rPr>
            </w:pPr>
            <w:r>
              <w:rPr>
                <w:rFonts w:hint="eastAsia" w:ascii="宋体" w:hAnsi="宋体" w:eastAsia="宋体" w:cs="宋体"/>
                <w:color w:val="000000"/>
                <w:sz w:val="21"/>
                <w:szCs w:val="21"/>
                <w:highlight w:val="none"/>
              </w:rPr>
              <w:t xml:space="preserve">1.优质冷轧钢板制作；脱脂、静电喷塑工艺</w:t>
            </w:r>
            <w:r/>
          </w:p>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2.参考尺寸：宽深高600×1000×1050mm；≥20U；</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3.19英寸标准加厚；立柱间距≥480mm；立柱厚度≥2mm；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4.风扇*1；托盘*1；脚轮*4；前后门*1；侧门*2；电源*1</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红外线治疗灯</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rPr>
              <w:t xml:space="preserve">1.促进血液循环，用于压疮护理或基础照护技能训练；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2.电压220V；</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3.具有红外线理疗作用，立式。</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红外线体温计</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1.精密探头，额式感温；</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2.智能三色背光提示，一键恢复出厂设置，LCD中文数字大屏。</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27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血糖测试仪</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19"/>
              </w:num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误差率±10%，脱氢酶技术。9档可调，采血量≤0.6μL，5秒出结果，语音播报，大屏显示。</w:t>
            </w:r>
            <w:r/>
          </w:p>
          <w:p>
            <w:pPr>
              <w:numPr>
                <w:ilvl w:val="0"/>
                <w:numId w:val="19"/>
              </w:num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附带100片试纸。</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2</w:t>
            </w:r>
            <w:r/>
          </w:p>
        </w:tc>
      </w:tr>
      <w:tr>
        <w:trPr>
          <w:trHeight w:val="9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电子血压计</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1.采用臂式/示搏测试法，一键准确测量脉搏、测量血压；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2.支持语音指导和语音播报、智能语音诊断；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3.≥4.5英寸LDE背光大屏、全中文菜单，支持夜光；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4.脉搏数据：40—200次/分钟；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5.360°随心测全覆盖臂带，完整搜集血压和脉搏数据；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6.支持体动提示、误动提醒；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7.支持分组记忆功能，最大支持50组记忆值</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电子血压手臂</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1.测量血压训练及考核；</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2.成人仿真手臂，有屏显控制器，有教学与考核系统；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3.可预置设定血压值、脉搏值；</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4.系统可生成各种临床常见的高血压病例。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5.血压测量过程中逼真地模拟Korotkoff's音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6.可通过GAP键调整GAP音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7.可在LCD屏幕上显示收缩压和舒张压，可事先设定血压值</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8.可显示心率，也可事先设定心率，使教学更加符合临床实际情况；</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9.压力值采用动态mmHg在LCD屏幕显示；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10.可对压力值进行校正保证在任何环境中都可使用。</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吞咽与呼吸机制模型</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1.高级吞咽机制模型为半侧成人头颈部，采用高分子材料制成，仿真度高。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2.吞咽机制原理。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3.误咽产生的原因。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4.颈部角度与误咽的相互关系。</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5.误咽发生时的紧急救治处理方法。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6.正确进食姿势及其体位和病床角度的相互关系。</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7.口腔护理时的吞咽练习。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8.观察鼻饲管在不同角度时的状态。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9.学习如何经鼻插胃管和间断性经胃管管饲。</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10.学习口腔内部吸收原理。</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鼻饲与洗胃模型</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1.模型为成年男性上半身，可实现洗胃时的多种体位：仰卧位、左侧卧位、坐位；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2.解剖结构精确，包括牙、舌、悬雍垂、气管、支气管、左右肺脏、食管、胃、</w:t>
            </w:r>
            <w:r>
              <w:rPr>
                <w:rFonts w:hint="eastAsia" w:ascii="宋体" w:hAnsi="宋体" w:cs="宋体"/>
                <w:color w:val="000000"/>
                <w:sz w:val="21"/>
                <w:szCs w:val="21"/>
                <w:highlight w:val="none"/>
                <w:lang w:val="en-US" w:eastAsia="zh-CN"/>
              </w:rPr>
              <w:t xml:space="preserve">肝</w:t>
            </w:r>
            <w:r>
              <w:rPr>
                <w:rFonts w:hint="eastAsia" w:ascii="宋体" w:hAnsi="宋体" w:eastAsia="宋体" w:cs="宋体"/>
                <w:color w:val="000000"/>
                <w:sz w:val="21"/>
                <w:szCs w:val="21"/>
                <w:highlight w:val="none"/>
              </w:rPr>
              <w:t xml:space="preserve">、胆囊、胰腺、脾、十二指肠、结肠等结构；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3.胸腹部外皮为透明外壳，便于观察内部解剖结构以及操作全过程；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4.模型使用完毕，消化道内残存液体可方便地从专用管道排出。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5.带有灯光警示系统，提示胆囊的不同解剖部位；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6.洗胃术：经口、鼻洗胃器洗胃法，电动吸引洗胃法，胃管洗胃法，洗胃机洗胃法；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7.胃肠减压术、胃液采集术、十二指肠引流术、双气囊三腔管压迫术；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8.鼻饲术、氧气吸入、口腔护理、经口经鼻吸痰术、气管切开术术后护理等多项护理操作</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透明女性导尿模型</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高级透明女性导尿模型以正常人体解剖为依据，形态逼真，操作真实，临床感强，插入导尿管的阻力与真实人体相似，外生殖器等部件可更换，可通过透明外壳观察盆腔内部解剖结构，可供导尿、留置尿管和膀胱冲洗、滴药等多种教学与练习，通过外接储液袋，使膀胱保持充盈，可连续进行示教和回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1.生殖器官逼真，小阴唇可以分开，否则就看不到尿道；</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2.可通过透明的耻骨观察骨盆和膀胱的相对位置，骨盆位置固定，可观察膀胱的位置和插入导管的角度；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3.插入导管的阻力和压力与真实人体相似（插入导管时需要润滑油）；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4.练习插入导管的各个步骤，可以外部观察到气囊导管膨胀和膨胀后导管的位置；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5.导管正确插入后，尿液（水）才会流出。</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透明男性导尿模型</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高级透明男性导尿操作模型以正常人体解剖为依据，形态逼真、操作真实、临床感强，插入导尿管的阻力与真实人体相似，外生殖器官等部件可更换，可通过透明外壳观察盆腔内部解剖结构，可供导尿、留置尿管和膀胱冲洗、滴药等多种教学与练习，通过外接储液袋，使膀胱保持充盈，可连续进行示教和回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1.外部生殖器官逼真；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2.可通过透明的耻骨观察骨盆和膀胱的相对位置，骨盆位置固定，可观察膀胱的位置和插入导管的角度；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3.插入导管的阻力和压力与真实人体相似（插入导管时需要润滑油）；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4.练习插入导管的各个步骤，可以外部观察到气囊导管膨胀和膨胀后导管的位置；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5.导管正确插入</w:t>
            </w:r>
            <w:r>
              <w:rPr>
                <w:rFonts w:hint="eastAsia" w:ascii="宋体" w:hAnsi="宋体" w:cs="宋体"/>
                <w:color w:val="000000"/>
                <w:sz w:val="21"/>
                <w:szCs w:val="21"/>
                <w:highlight w:val="none"/>
                <w:lang w:val="en-US" w:eastAsia="zh-CN"/>
              </w:rPr>
              <w:t xml:space="preserve">后</w:t>
            </w:r>
            <w:r>
              <w:rPr>
                <w:rFonts w:hint="eastAsia" w:ascii="宋体" w:hAnsi="宋体" w:eastAsia="宋体" w:cs="宋体"/>
                <w:color w:val="000000"/>
                <w:sz w:val="21"/>
                <w:szCs w:val="21"/>
                <w:highlight w:val="none"/>
              </w:rPr>
              <w:t xml:space="preserve">，尿液（水）才会流出</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盥洗台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1.材质：强化复合人造石；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2.参考规格：W≥55cm；H≥85cm；允许适量误差；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3.包含柜体、台面、盥洗盆≥2、五金件等；含进水管和排水管的铺设，可旋转长嘴不锈钢水龙头；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4.功能：部署取电口≥10个；下层收纳柜，用于物品储存收纳等。</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米</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药柜</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1.尺寸：≥90cm×50cm×180cm；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2.上部有药瓶搁架、玻璃门及锁，中间有两个抽屉及锁，下部为两门柜，内有隔板，可存放各类药物；</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3.材质：不锈钢。</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器械柜</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1.材质：不锈钢，耐高温耐腐、pvc密封胶条防尘防菌，厚度≥0.8mm</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2.尺寸：≥90*50*180cm；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发药车</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1.尺寸：≥70cm×50cm×90cm；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2.有药盘、小药杯，上下两层搁架，静音脚轮；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w:t>
            </w:r>
            <w:r>
              <w:rPr>
                <w:rFonts w:hint="eastAsia" w:ascii="宋体" w:hAnsi="宋体" w:eastAsia="宋体" w:cs="宋体"/>
                <w:sz w:val="21"/>
                <w:szCs w:val="21"/>
                <w:highlight w:val="none"/>
              </w:rPr>
              <w:t xml:space="preserve">料：不锈钢</w:t>
            </w:r>
            <w:r>
              <w:rPr>
                <w:rFonts w:hint="eastAsia" w:ascii="宋体" w:hAnsi="宋体" w:eastAsia="宋体" w:cs="宋体"/>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辆</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呼吸器（便携氧气袋）</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1.用于供氧，能实施进一步生命支持技术；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2.含面罩、单向阀、球体、氧气储气阀、氧气储气袋、氧气导管；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3.其中氧气储气阀及氧气储气袋必须与外接氧气组合，如未接氧气时应将两个组件取下。</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心肺复苏按压板</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高密度聚乙烯塑料制成，带织纹</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2.尺寸</w:t>
            </w:r>
            <w:r>
              <w:rPr>
                <w:rFonts w:hint="eastAsia" w:ascii="宋体" w:hAnsi="宋体" w:eastAsia="宋体" w:cs="宋体"/>
                <w:sz w:val="21"/>
                <w:szCs w:val="21"/>
                <w:highlight w:val="none"/>
              </w:rPr>
              <w:t xml:space="preserve">≥60×40×5cm</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3.重量</w:t>
            </w:r>
            <w:r>
              <w:rPr>
                <w:rFonts w:hint="eastAsia" w:ascii="宋体" w:hAnsi="宋体" w:eastAsia="宋体" w:cs="宋体"/>
                <w:sz w:val="21"/>
                <w:szCs w:val="21"/>
                <w:highlight w:val="none"/>
              </w:rPr>
              <w:t xml:space="preserve">≤2kg</w:t>
            </w:r>
            <w:r>
              <w:rPr>
                <w:rFonts w:hint="eastAsia" w:ascii="宋体" w:hAnsi="宋体" w:eastAsia="宋体" w:cs="宋体"/>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default" w:ascii="宋体" w:hAnsi="宋体" w:eastAsia="宋体" w:cs="宋体"/>
                <w:sz w:val="21"/>
                <w:szCs w:val="21"/>
                <w:highlight w:val="yellow"/>
                <w:lang w:val="en-US" w:eastAsia="zh-CN"/>
                <w14:ligatures w14:val="standardContextual"/>
              </w:rPr>
            </w:pPr>
            <w:r>
              <w:rPr>
                <w:rFonts w:hint="eastAsia" w:ascii="宋体" w:hAnsi="宋体" w:cs="宋体"/>
                <w:sz w:val="21"/>
                <w:szCs w:val="21"/>
                <w:highlight w:val="none"/>
                <w:lang w:val="en-US" w:eastAsia="zh-CN"/>
                <w14:ligatures w14:val="standardContextual"/>
              </w:rPr>
              <w:t xml:space="preserve">40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半身心肺复苏模拟人</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1.主体材质：面部、胸部采用医用环保硅胶/热塑弹性体（TPE）</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2.解剖标志清晰，锁骨、胸骨、剑突、两乳头连线定位精准，便于规范按压位置教学</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3.胸廓结构：胸廓按压回弹性能稳定，按压机械寿命≥100万次，胸皮可拆卸更换</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4.头部可灵活后仰、旋转，支持仰头举颏法标准开放气道，下颌关节活动顺畅，气道结构可拆卸清洗。</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w:t>
            </w:r>
            <w:r>
              <w:rPr>
                <w:rFonts w:hint="eastAsia" w:ascii="宋体" w:hAnsi="宋体" w:eastAsia="宋体" w:cs="宋体"/>
                <w:sz w:val="21"/>
                <w:szCs w:val="21"/>
                <w:highlight w:val="none"/>
                <w:lang w:eastAsia="zh-CN"/>
              </w:rPr>
              <w:t xml:space="preserve">心脏按压</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1.精准监测5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6cm标准深度，具备三色灯光+语音双重反馈：5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6cm绿灯（合格）、＜5cm黄灯（过浅）、＞6cm红灯（过深）</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2.按压频率：监测100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120次/分钟标准频率，频率过快或过慢实时语音提示</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3.按压位置错误、胸廓回弹不足自动语音报警提示</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4.自动统计总按压次数、有效按压次数、有效按压率，数据实时显示。</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（二）人工呼吸</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1.监测成人500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1000ml有效通气量，三色灯光反馈：500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1000ml绿灯（合格）、＜500ml/＞1000ml红灯（异常）</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2.正确通气时胸廓自然起伏，吹气过快、气量过大/过小、气道未开放自动语音提示。</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（三）系统模式与数据功能</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1.具备训练模式、考核模式两种核心模式，可自由切换</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2.中文语音操作指引，语音可开启/关闭、音量可调</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3.配备数码显示屏，实时显示按压深度、频率、通气量、操作次数、考核成绩等数据</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4.考核结束自动生成考核评分，支持成绩读取、记录留存。</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（四）其他</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1.内置可充电锂电池，连续续航时间≥8小时，USB充电</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备用肺囊1个、一次性CPR屏障面膜（50片）</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整机重量≤2.5kg。 </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lang w:val="en-US" w:eastAsia="zh-CN"/>
                <w14:ligatures w14:val="standardContextual"/>
              </w:rPr>
            </w:pPr>
            <w:r>
              <w:rPr>
                <w:rFonts w:hint="eastAsia" w:ascii="宋体" w:hAnsi="宋体" w:eastAsia="宋体" w:cs="宋体"/>
                <w:sz w:val="21"/>
                <w:szCs w:val="21"/>
                <w:highlight w:val="none"/>
                <w14:ligatures w14:val="standardContextual"/>
              </w:rPr>
              <w:t xml:space="preserve">4</w:t>
            </w:r>
            <w:r>
              <w:rPr>
                <w:rFonts w:hint="eastAsia" w:ascii="宋体" w:hAnsi="宋体" w:cs="宋体"/>
                <w:sz w:val="21"/>
                <w:szCs w:val="21"/>
                <w:highlight w:val="none"/>
                <w:lang w:val="en-US" w:eastAsia="zh-CN"/>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智能化</w:t>
            </w:r>
            <w:bookmarkStart w:id="127" w:name="OLE_LINK15"/>
            <w:r>
              <w:rPr>
                <w:rFonts w:hint="eastAsia" w:ascii="宋体" w:hAnsi="宋体" w:eastAsia="宋体" w:cs="宋体"/>
                <w:sz w:val="21"/>
                <w:szCs w:val="21"/>
                <w:highlight w:val="none"/>
                <w14:ligatures w14:val="standardContextual"/>
              </w:rPr>
              <w:t xml:space="preserve">心肺复苏模拟人</w:t>
            </w:r>
            <w:bookmarkEnd w:id="127"/>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20"/>
              </w:num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系统组成：复苏模拟人、PC控制端、电源适配器，内置锂电池，连续续航时间≥8小时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二、连接方式：有线、无线</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三、1.模拟人复苏成功后，瞳孔由散大自动变为正常，颈动脉有搏动、有呼吸音</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按压时同步产生动脉搏动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3.可进行人工呼吸和心外按压。</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四、</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支持考核模式、训练模式、成绩导出、操作设置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2.考核模式：系统可以波形图或柱形图的形式同步监测按压频率、吹气量、按压深度，老师可对考生的人文关怀、模拟人摆放体位、按压手法等进行评估；</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3.操作流程训练，包括判断环境安全、拨打120电话、取出口中异物、脉搏评估时间并记录到成绩单；训练结束后，系统自动给出训练数据统计及成绩单。</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五、网络管理</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支持用户管理，支持单独或批量注册。</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4</w:t>
            </w:r>
            <w:r>
              <w:rPr>
                <w:rFonts w:hint="eastAsia" w:ascii="宋体" w:hAnsi="宋体" w:cs="宋体"/>
                <w:color w:val="000000"/>
                <w:sz w:val="21"/>
                <w:szCs w:val="21"/>
                <w:highlight w:val="none"/>
                <w:lang w:val="en-US" w:eastAsia="zh-CN"/>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听诊器</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1.进行胸部及腹部听诊及血压的测量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2.听诊人体的心、肺、动脉等器官的声响变化；</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3.主要由拾音部分（胸件）、传导部分（胶管）及听音部分（耳件）组成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4.传音管国际标准长度为≥27英寸</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4</w:t>
            </w:r>
            <w:r>
              <w:rPr>
                <w:rFonts w:hint="eastAsia" w:ascii="宋体" w:hAnsi="宋体" w:cs="宋体"/>
                <w:color w:val="000000"/>
                <w:sz w:val="21"/>
                <w:szCs w:val="21"/>
                <w:highlight w:val="none"/>
                <w:lang w:val="en-US" w:eastAsia="zh-CN"/>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多功能电动移位机</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sz w:val="21"/>
                <w:szCs w:val="21"/>
                <w:highlight w:val="none"/>
                <w:lang w:eastAsia="zh-CN"/>
                <w14:ligatures w14:val="standardContextual"/>
              </w:rPr>
            </w:pPr>
            <w:r>
              <w:rPr>
                <w:rFonts w:hint="eastAsia" w:ascii="宋体" w:hAnsi="宋体" w:eastAsia="宋体" w:cs="宋体"/>
                <w:sz w:val="21"/>
                <w:szCs w:val="21"/>
                <w:highlight w:val="none"/>
              </w:rPr>
              <w:t xml:space="preserve">1.规格：≥80*50*83.5-110CM；座位宽度：≥45CM；座位深度：≥38CM；座位离地高度：≥40-60CM；</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2.承重≥120kg，180度开合、防水材质、万向脚轮；</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3.具有轮椅、坐便椅、洗浴凳等多种功能；</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4.可调节座位高度；</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5.后靠背开合式设计；</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6.四轮带有制动器可刹车；</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7.配备安全带；</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8.防水设计，可直接坐在位移机上洗澡</w:t>
            </w:r>
            <w:r>
              <w:rPr>
                <w:rFonts w:hint="eastAsia" w:ascii="宋体" w:hAnsi="宋体" w:eastAsia="宋体" w:cs="宋体"/>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4</w:t>
            </w:r>
            <w:r>
              <w:rPr>
                <w:rFonts w:hint="eastAsia" w:ascii="宋体" w:hAnsi="宋体" w:cs="宋体"/>
                <w:color w:val="000000"/>
                <w:sz w:val="21"/>
                <w:szCs w:val="21"/>
                <w:highlight w:val="none"/>
                <w:lang w:val="en-US" w:eastAsia="zh-CN"/>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翻身移位操作组</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1.翻身移位滑垫1张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1.1.尺寸参考≥1450*1450mm；材质：100%尼龙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1.2.可简单进行清洗和消毒；使用降落伞特殊材质；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2.多功能移转位滑垫1张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2.1.尺寸参考≥1170*750mm；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2.2.可让卧病在床的病患上、下、左、右、移位、起身、翻身、转位乘坐轮椅、清洁床面等多功能用途；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3.移位省力垫1个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3.1.尺寸参考：≥240*110*15mm；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3.2.入浴用移位辅具，防滑防水加工，柔软材质不伤皮肤，移位轻松，省力安全；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4.床上/车上/椅上用转位垫1个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4.1.尺寸参考：直径≥40cm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4.2.床上/车上/椅上用360°</w:t>
            </w:r>
            <w:r>
              <w:rPr>
                <w:rFonts w:hint="eastAsia" w:ascii="宋体" w:hAnsi="宋体" w:eastAsia="宋体" w:cs="宋体"/>
                <w:color w:val="000000"/>
                <w:sz w:val="21"/>
                <w:szCs w:val="21"/>
                <w:highlight w:val="none"/>
                <w:lang w:eastAsia="zh-CN"/>
              </w:rPr>
              <w:t xml:space="preserve">旋转座垫</w:t>
            </w:r>
            <w:r>
              <w:rPr>
                <w:rFonts w:hint="eastAsia" w:ascii="宋体" w:hAnsi="宋体" w:eastAsia="宋体" w:cs="宋体"/>
                <w:color w:val="000000"/>
                <w:sz w:val="21"/>
                <w:szCs w:val="21"/>
                <w:highlight w:val="none"/>
              </w:rPr>
              <w:t xml:space="preserve">，可以更轻松</w:t>
            </w:r>
            <w:r>
              <w:rPr>
                <w:rFonts w:hint="eastAsia" w:ascii="宋体" w:hAnsi="宋体" w:eastAsia="宋体" w:cs="宋体"/>
                <w:color w:val="000000"/>
                <w:sz w:val="21"/>
                <w:szCs w:val="21"/>
                <w:highlight w:val="none"/>
                <w:lang w:eastAsia="zh-CN"/>
              </w:rPr>
              <w:t xml:space="preserve">地</w:t>
            </w:r>
            <w:r>
              <w:rPr>
                <w:rFonts w:hint="eastAsia" w:ascii="宋体" w:hAnsi="宋体" w:eastAsia="宋体" w:cs="宋体"/>
                <w:color w:val="000000"/>
                <w:sz w:val="21"/>
                <w:szCs w:val="21"/>
                <w:highlight w:val="none"/>
              </w:rPr>
              <w:t xml:space="preserve">移动身体转动至</w:t>
            </w:r>
            <w:r>
              <w:rPr>
                <w:rFonts w:hint="eastAsia" w:ascii="宋体" w:hAnsi="宋体" w:eastAsia="宋体" w:cs="宋体"/>
                <w:color w:val="000000"/>
                <w:sz w:val="21"/>
                <w:szCs w:val="21"/>
                <w:highlight w:val="none"/>
                <w:lang w:eastAsia="zh-CN"/>
              </w:rPr>
              <w:t xml:space="preserve">各个</w:t>
            </w:r>
            <w:r>
              <w:rPr>
                <w:rFonts w:hint="eastAsia" w:ascii="宋体" w:hAnsi="宋体" w:eastAsia="宋体" w:cs="宋体"/>
                <w:color w:val="000000"/>
                <w:sz w:val="21"/>
                <w:szCs w:val="21"/>
                <w:highlight w:val="none"/>
              </w:rPr>
              <w:t xml:space="preserve">角度，柔软透气的材质，久坐也不闷热，更方便上下车和下床使用，适合老人家或腰部有问题的人使用；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5.移位滑板1个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5.1.尺寸参考≥740*240*10mm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5.2.特殊弧度设计，可适应不同环境、不同造型之轮椅，还可以克服轮椅扶手无法抬起的移位问题适合下肢无力，上半身还能自主者，可自行使用或由照护人员协助使用；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6.入浴用移位腰带1个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6.1.适应胸围约80—100cm；适应大腿围约50—65cm；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6.2.材质：本体：polyester纤维（表面）；棉（里面）。</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组</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4</w:t>
            </w:r>
            <w:r>
              <w:rPr>
                <w:rFonts w:hint="eastAsia" w:ascii="宋体" w:hAnsi="宋体" w:cs="宋体"/>
                <w:color w:val="000000"/>
                <w:sz w:val="21"/>
                <w:szCs w:val="21"/>
                <w:highlight w:val="none"/>
                <w:lang w:val="en-US" w:eastAsia="zh-CN"/>
                <w14:ligatures w14:val="standardContextual"/>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智慧黑板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21"/>
              </w:num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整机设计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1.整机采用全金属外壳，三拼接平面一体化设计，屏幕边缘采用圆角包边防护，整机背板采用金属材质。整机背板采用金属材质。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宽≥4200mm，高≥1200mm，厚≤120mm。主屏支持普通粉笔直接书写。整机两侧副屏可支持以下媒介（普通粉笔、液体粉笔、成膜笔）书写。屏幕采用86英寸液晶面板，显示比例16:9，分辨率3840*2160；最大屏幕亮度≥300cd/m²</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二、整机设计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1.前置物理按键，在节能状态下通过长按电源键进入还原界面，可选择安卓系统还原、OPS还原以及正常启动选项，还原操作时需通过密码验证，有效避免误操作；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2.≥3路USB输入接口，摄像头拍摄像素数≥1300万；</w:t>
            </w:r>
            <w:r/>
          </w:p>
          <w:p>
            <w:pPr>
              <w:numPr>
                <w:ilvl w:val="0"/>
                <w:numId w:val="19"/>
              </w:num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内置阵列麦克风；麦克风拾音距离≥10米；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4.内音响，总功率≥60W；</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5.内置的蓝牙及Wi-Fi</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6.侧置输入接口具备≥2路HDMI、≥1路RS232、≥1路USB、≥1路RJ45接口，所有接口具备明显的丝印标识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三、电脑模块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1.通用标准80pin接口，即插即用；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2.主板：CPU≥i5；内存：≥8GB DDR4；硬盘：≥256GB SSD；</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6.输出接口：≥1路HDMI，≥1路DP；</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7.USB接口：≥3路USB3.0，≥1路USB2.0；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8.具有PC防盗锁功能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四、内置软件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（一）教学软件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1.支持老师个人账号注册登录使用，老师只需联网登录即可获取云课件。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2.支持课件云同步，课件上的所有修改、操作均可实时同步至云端。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3.支持老师利用软件互动功能在原有PPT基础上修改课件。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4.基础图形：支持直线、箭头、正方形、圆角四边形、平行四边形、圆形、等腰三角形、直角三角形、菱形、梯形、五边形等基本图形绘制。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5.高级图形：支持对话框、五角星、大括号、旗子等特殊图形绘制。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6.图形编辑：支持对图形对象进行颜色、边框、阴影、倒影、透明度等属性设置。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7.支持创建互动分类游戏。系统需提供不少于9种游戏模板供老师选择，且模板样式支持自定义修改。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8.支持创建分组竞争游戏，提供不少于3种难度、10种游戏模板选择，且模板样式支持自定义修改。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9.快捷抠图，处理后的图片主体边缘没有明显毛边，可导出保存成PNG格式。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10.提供覆盖小学、初中、高中的古诗词、古文资源。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11备课场景中搜索课件库课件资源，具有不少于10万份课件资源</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12支持PPT原生解析。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13.具备云教案模块。可将云教案转存至个人云空间。云教案支持导出为PDF格式。能将Word文档转换为云教案，云教案能够插入表格、图片、音视频、文档附件。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14.多学科题库模块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提供涵盖初中、高中的总知识点不少于4000个，试题数量不少于20万道试题，中学题库需包含语文、数学、英语、物理、化学、生物、政治、历史、地理等多个学科，包含选择、填空、判断、诗歌阅读、完形填空、阅读理解、辨析题、材料题、实验题、作图题等丰富题型。可批量选择试题以交互试题卡的形式插入课件。试题卡包含题干、答案和解析，并可一键展开收起答案和解析，支持多种格式的试题批量上传，包含doc、docx、png、jpeg、jpg类型。</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15.空中课堂模块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支持一键开课生成课程海报，学生扫描课程海报微信二维码可加入直播课堂，不需安装APP。支持学生在直播课堂打字提问、互动，学生提问内容实时传递至教师。支持教师根据讲解内容发布答题板供学生选择作答，学生提交答案后系统会自动统计正确率和答题详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16.作业题库模块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支持选择题、填空题、判断题、解答题四种类型题目的创建，在线小测和客观题自动批改。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17.教研中心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（1）校本资源库：支持实现校本资源共建共享。可上传课件、教案、胶囊及多媒体文件；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（2）可将课件、教案和胶囊以文件的形式批量上传。支持树形结构目录，能进行资源分类及查找，支持全局资源搜索可按年级、学科筛选资源，支找到资源后定位到当前资源文件夹；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（二）资源中心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资源内容在云端服务器上，可在线更新资源内容，提供丰富的3D模型类数字素材资源，无学科使用限制。知识点模型数量≥1000个。</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313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4</w:t>
            </w:r>
            <w:r>
              <w:rPr>
                <w:rFonts w:hint="eastAsia" w:ascii="宋体" w:hAnsi="宋体" w:cs="宋体"/>
                <w:color w:val="000000"/>
                <w:sz w:val="21"/>
                <w:szCs w:val="21"/>
                <w:highlight w:val="none"/>
                <w:lang w:val="en-US" w:eastAsia="zh-CN"/>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数字化视频展台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1.壁挂式安装，无锐角无利边设计，有效防止师生碰伤划伤；</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2.采用三折叠开合式托板，展开后托板尺寸≥A4面积，托板可收起；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3.采用800W像素自动对焦摄像头，可拍摄A4画幅；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4.采用USB接口，单根USB线实现供电、高清数据传输需求；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5.展台按键采用触摸按键，可实现一键启动展台画面、画面放大、画面缩小、画面旋转、拍照截图等功能，同时也支持在一体机或电脑上进行同样的操作；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6.摄像头部分进行外壳防护等级试验，防护等级达到IP4X级别；</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7.支持展台画面实时批注，预设多种笔画粗细及颜色供选择，且支持对展台画面连同批注内容进行同步缩放、移动；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8.支持对展台实时画面进行放大、缩小、旋转、自适应、冻结画面等操作；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9.支持展台画面拍照截图并进行多图预览，可对任一图片进行全屏显示；</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4</w:t>
            </w:r>
            <w:r>
              <w:rPr>
                <w:rFonts w:hint="eastAsia" w:ascii="宋体" w:hAnsi="宋体" w:cs="宋体"/>
                <w:color w:val="000000"/>
                <w:sz w:val="21"/>
                <w:szCs w:val="21"/>
                <w:highlight w:val="none"/>
                <w:lang w:val="en-US" w:eastAsia="zh-CN"/>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升降式培训讲台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1.整体尺寸参考：最低≥690*536*752.5mm，最高≥690*536*1112.5mm；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桌面：E1级环保高密度板，厚度≥18MM，桌面尺寸参考：690mm*512mm；经防虫、防腐处理，强度高、刚性好、不变形、比重合理；外表面采用中纤板喷粉技术处理，无需封边；所有棱边都弧形倒角设计，防止撞伤；桌面安装长度为30cm的铝拉丝挡条，防止物品滑落；桌面配置有笔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3.气动升降杆：优质铝合金，高温静电喷涂。升降范围参考：752.5—1112.5mm；一键无极升降，升降按键采用弧形设计，符合人体工学；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4.底盘：开放型设计的支架底盘，符合人体工学；采用优质铝合金，高温静电喷涂，4个两寸万向PU滑轮，2轮可锁定，方便移动；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5.功能：桌面呈10度倾斜，可选配水杯架、键盘托、≤20CM的校徽印刷；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6.产品的甲醛释放量、可溶性重金属含量、挥发性有机化合物（VOC）含量、（铅/镉/汞/六价铬/苯含量等）全部检测合格；                                                        7.产品主要尺寸及偏差、产品形状和位置公差、产品外观性能要求、产品表面涂饰层/覆面材料理化性能、力学性能6个部分的检查，全部符合GB/T3325-2017《金属家具通用技术条件》的检验依据的要求</w:t>
            </w:r>
            <w:r>
              <w:rPr>
                <w:rFonts w:hint="eastAsia" w:ascii="宋体" w:hAnsi="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4</w:t>
            </w:r>
            <w:r>
              <w:rPr>
                <w:rFonts w:hint="eastAsia" w:ascii="宋体" w:hAnsi="宋体" w:cs="宋体"/>
                <w:color w:val="000000"/>
                <w:sz w:val="21"/>
                <w:szCs w:val="21"/>
                <w:highlight w:val="none"/>
                <w:lang w:val="en-US" w:eastAsia="zh-CN"/>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培训折叠椅（带写字板）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1.可折叠、带写字板、带扶手，坐高约45cm，宽约50cm；允许必要误差；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2.优质塑钢脚架、稳固耐用、承重力强；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3.舒适座椅设计、符合人体工学、弹性坐垫、坐感舒服。</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40</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lang w:val="en-US" w:eastAsia="zh-CN"/>
                <w14:ligatures w14:val="standardContextual"/>
              </w:rPr>
            </w:pPr>
            <w:r>
              <w:rPr>
                <w:rFonts w:hint="eastAsia" w:ascii="宋体" w:hAnsi="宋体" w:eastAsia="宋体" w:cs="宋体"/>
                <w:sz w:val="21"/>
                <w:szCs w:val="21"/>
                <w:highlight w:val="none"/>
                <w14:ligatures w14:val="standardContextual"/>
              </w:rPr>
              <w:t xml:space="preserve">4</w:t>
            </w:r>
            <w:r>
              <w:rPr>
                <w:rFonts w:hint="eastAsia" w:ascii="宋体" w:hAnsi="宋体" w:cs="宋体"/>
                <w:sz w:val="21"/>
                <w:szCs w:val="21"/>
                <w:highlight w:val="none"/>
                <w:lang w:val="en-US" w:eastAsia="zh-CN"/>
                <w14:ligatures w14:val="standardContextual"/>
              </w:rPr>
              <w:t xml:space="preserve">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移动可视化教学实训推车</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移动推车指标：</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1.推车采用一体化设计，配备</w:t>
            </w:r>
            <w:r>
              <w:rPr>
                <w:rFonts w:hint="eastAsia" w:ascii="宋体" w:hAnsi="宋体" w:eastAsia="宋体" w:cs="宋体"/>
                <w:sz w:val="21"/>
                <w:szCs w:val="21"/>
                <w:highlight w:val="none"/>
                <w:lang w:eastAsia="zh-CN"/>
              </w:rPr>
              <w:t xml:space="preserve">万向</w:t>
            </w:r>
            <w:r>
              <w:rPr>
                <w:rFonts w:hint="eastAsia" w:ascii="宋体" w:hAnsi="宋体" w:eastAsia="宋体" w:cs="宋体"/>
                <w:sz w:val="21"/>
                <w:szCs w:val="21"/>
                <w:highlight w:val="none"/>
              </w:rPr>
              <w:t xml:space="preserve">旋转支臂、机箱、抽屉、显示器挂架</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2.集成1台≥18.5英寸高清液晶一体触摸屏、1台≥18.5英寸高清液晶显示屏；</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3.内置电池，需保证≥4小时课堂教学，电量显示；</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4.配备≥1个</w:t>
            </w:r>
            <w:r>
              <w:rPr>
                <w:rFonts w:hint="eastAsia" w:ascii="宋体" w:hAnsi="宋体" w:eastAsia="宋体" w:cs="宋体"/>
                <w:sz w:val="21"/>
                <w:szCs w:val="21"/>
                <w:highlight w:val="none"/>
                <w:lang w:eastAsia="zh-CN"/>
              </w:rPr>
              <w:t xml:space="preserve">万向</w:t>
            </w:r>
            <w:r>
              <w:rPr>
                <w:rFonts w:hint="eastAsia" w:ascii="宋体" w:hAnsi="宋体" w:eastAsia="宋体" w:cs="宋体"/>
                <w:sz w:val="21"/>
                <w:szCs w:val="21"/>
                <w:highlight w:val="none"/>
              </w:rPr>
              <w:t xml:space="preserve">旋转支臂，支持安装摄像机</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二、硬件接口指标：</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1.视频接口：支持≥1路HDMI视频输入、≥2路HDMI视频输出接口；输入输出最高分辨率需支持1080P60及向下兼容；</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2.音频接口：支持≥2路3.5mm音频输入、≥1路3.5mm音频输出接口，支持根据系统功能模式自由混音输出；</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3.通讯接口：支持≥4路RJ45网口，其中≥3路支持POE；</w:t>
            </w:r>
            <w:bookmarkStart w:id="128" w:name="OLE_LINK1"/>
            <w:r>
              <w:rPr>
                <w:rFonts w:hint="eastAsia" w:ascii="宋体" w:hAnsi="宋体" w:eastAsia="宋体" w:cs="宋体"/>
                <w:sz w:val="21"/>
                <w:szCs w:val="21"/>
                <w:highlight w:val="none"/>
              </w:rPr>
              <w:t xml:space="preserve">（提供实物高清照片）</w:t>
            </w:r>
            <w:r>
              <w:rPr>
                <w:rFonts w:hint="eastAsia" w:ascii="宋体" w:hAnsi="宋体" w:eastAsia="宋体" w:cs="宋体"/>
                <w:sz w:val="21"/>
                <w:szCs w:val="21"/>
                <w:highlight w:val="none"/>
              </w:rPr>
              <w:br/>
            </w:r>
            <w:bookmarkEnd w:id="128"/>
            <w:r>
              <w:rPr>
                <w:rFonts w:hint="eastAsia" w:ascii="宋体" w:hAnsi="宋体" w:eastAsia="宋体" w:cs="宋体"/>
                <w:sz w:val="21"/>
                <w:szCs w:val="21"/>
                <w:highlight w:val="none"/>
              </w:rPr>
              <w:t xml:space="preserve">4.需内置麦克风扬声器，≥1T存储空间。</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三、摄像机指标：</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1.支持≥200万1/2.8"CMOS镜头；</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2.硬件接口：支持≥1路RJ45、≥1个 RS-485 、≥1个 3G-SDI 、≥</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路HDMI接口；</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3.最高分辨率需支持1080P60及向下兼容；支持H.265/H.264/MJPEG视频压缩标准；</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4.焦距</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4.7</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47mm；信噪比：≥50dB；支持≥10倍光学变倍；</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5.光圈值：F1.6-F3.0；水平视场角：54.5-6.5度； </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6.支持自动/半自动/手动聚焦；支持自动手动/锁定白平衡；</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7.支持数字降噪、图像冻结；</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8.支持摄像机亮度、对比度、锐度、饱和度、色度调节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四、实训教学软件指标：</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1.采用Linux操作系统，支持例如录播教室、礼堂、户外等多种应用场景进行录制和直播使用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2.支持一键录制、一键直播、一键互动；</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3.支持≥8路备播通道图像加载</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4.实现主备播预监功能。可加载本地视频信号、无线网络信号、有线网络信号、图片等；</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5.支持转场特效切换；</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6.支持多视频画面叠加功能，可一键式实现画中画、画旁画、对话模式、3分屏、4分屏等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7.需支持片头、片尾功能，并且可对片头和片尾视频进行设置；</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五、无线图传指标：</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1.支持</w:t>
            </w:r>
            <w:r>
              <w:rPr>
                <w:rFonts w:hint="eastAsia" w:ascii="宋体" w:hAnsi="宋体" w:eastAsia="宋体" w:cs="宋体"/>
                <w:sz w:val="21"/>
                <w:szCs w:val="21"/>
                <w:highlight w:val="none"/>
                <w:lang w:eastAsia="zh-CN"/>
              </w:rPr>
              <w:t xml:space="preserve">Wi-Fi</w:t>
            </w:r>
            <w:r>
              <w:rPr>
                <w:rFonts w:hint="eastAsia" w:ascii="宋体" w:hAnsi="宋体" w:eastAsia="宋体" w:cs="宋体"/>
                <w:sz w:val="21"/>
                <w:szCs w:val="21"/>
                <w:highlight w:val="none"/>
              </w:rPr>
              <w:t xml:space="preserve">功能，画面广播功能，内置白板、批注等教学工具；</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2.需支持无线图传功能；支持将第三方设备的高清视频信号无线传输至移动推车终端中，保证画面不失真、不变形、不卡顿；支持画面录制、直播与远程互动等。</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default" w:ascii="宋体" w:hAnsi="宋体" w:eastAsia="宋体" w:cs="宋体"/>
                <w:color w:val="000000"/>
                <w:sz w:val="21"/>
                <w:szCs w:val="21"/>
                <w:highlight w:val="none"/>
                <w:lang w:val="en-US" w:eastAsia="zh-CN"/>
                <w14:ligatures w14:val="standardContextual"/>
              </w:rPr>
            </w:pPr>
            <w:r>
              <w:rPr>
                <w:rFonts w:hint="eastAsia" w:ascii="宋体" w:hAnsi="宋体" w:cs="宋体"/>
                <w:color w:val="000000"/>
                <w:sz w:val="21"/>
                <w:szCs w:val="21"/>
                <w:highlight w:val="none"/>
                <w:lang w:val="en-US" w:eastAsia="zh-CN"/>
                <w14:ligatures w14:val="standardContextual"/>
              </w:rPr>
              <w:t xml:space="preserve">50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全空间智能无感扩音系统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一、音箱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1.单元组成：低音：≥6.5英寸低音；高音：≥3英寸高音；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2.频率响应（±3dB）：70Hz-17KHz；（±10dB）：60Hz-18KHz；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3.覆盖角度：≥90度（H）×60度（V）；标准阻抗：8Ω；灵敏度（1W/1m）：≥95dB/1W 1米；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4.连续声压级：≥116dB；峰值声压级：≥122dB；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5.输入功率：≥120W（额定）/480W（峰值）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二、吊麦扩声主机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1.音频处理器、数字功率放大器、双模无线麦接收器一体式设计，无线外置接收，高度1.5U，纯嵌入式；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2.前面板液晶显示屏各项参数指标；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3.采用自适应环境啸叫抑制算法（AFC），反馈抑制（AFC）：传声增益提升幅度：≥12dB背景噪声（ANS）</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信噪比可以提升18dB内置24Bit A/D、D/A转换；24位DSP处理器，48KHz高速采样，采用高速浮点运算；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4.系统智能（AGC）双向电平控制技术，可获清晰、持续的、语音电平无明显波动的输出；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5.AR智能调整，免人工调试；数字环境噪声：有多级阈值调整可以去除不需要的背景噪声；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6.内置DSP处理器，具有高通、10段数字均衡，精准调节声场均衡补偿；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7.输入5路麦克风，且为卡龙头接口保证声音还原度，具有48V电源供电，具备多麦同时使用技术，且多麦同时使用不啸叫、不丢字、不卡顿，声场均匀；</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8.调试控制接口：支持串口和USB调试；面板可锁定所有参数，防止误操作，可以通过电脑PC界面来调节设置，支持中控。话筒总音量调整（-80~0DB）音乐总音量调整（-80~0DB）锁定面板保存功能；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9.5路麦克风输入（其中一路是无线话筒项功能），独立的调整灵敏调整。外置静音开关面板，可放置讲台；可0dB-70dB音量调节并带有指示灯进行分贝数显示，同时具有静音功能，且静音时不影响录音效果。每路MIC独立的48V幻象电源供电，可以独立开关。可与鹅颈麦克风进行兼容，并带有独立的电源开关，可实现鹅颈麦自由开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10.主机采用开关电源供电，D类数字功放，保证声音的保真度，具有延时保护、中点电压保护、短路过流保护功能，带散热风扇。功率放大器的输出功率4*150W，一台主机最多可带8对音箱；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11.音频输入有两组立体声输入，录音音频输出，立体声输出。音乐开启自动关闭吊麦。第4路话筒优先功能。单独话筒静音接口可以外接开关控制。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12.话筒供电：48V/+6V幻象电源（混合6.35插座）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三、指向性吊麦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1.高灵敏度，单一指向拾音，频响范围宽广；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2.具有近距、远距两种拾音模式可选；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3.使用48V幻象供电或者AA电池供电方式；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4.频率响应： 100Hz-20KHz；灵敏度：近距-45dB；远距-38dB；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5.供电电压：48V、DC1.5供电；输出阻抗（欧姆）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近2.3kΩ 远距1kΩ；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6.咪管规格：22*360mm；咪线长度配置：8米单芯、卡龙母+卡龙公；包含支架。</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5</w:t>
            </w:r>
            <w:r>
              <w:rPr>
                <w:rFonts w:hint="eastAsia" w:ascii="宋体" w:hAnsi="宋体" w:cs="宋体"/>
                <w:color w:val="000000"/>
                <w:sz w:val="21"/>
                <w:szCs w:val="21"/>
                <w:highlight w:val="none"/>
                <w:lang w:val="en-US" w:eastAsia="zh-CN"/>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千兆网络交换机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1.机身固化10/100/1000M以太网电接口≥26个，固化SFP千兆光接口≥2个，固化SFP+万兆光接口≥2个，交流电源≥1个；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2.支持Console口（RJ45）、带外管理口（RJ45）、USB接口、Reset键；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3.交换容量≥5.98Tbps，包转发率≥252Mpps；设备1U高，深度≤242mm；满负荷情况下功耗≤26W；支持静态路由、RIPV1/2、RIPng、OSPF、OSPFv3、IS-IS、IS-ISv6、BGP、BGP4+、ECMP、路由策略；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功能：（1）端口支持8KV防雷；（2）支持OpenFlow1.3功能；（3）支持能效以太网（802.3azEEE）、sFlow和以太网OAM；（4）端口LED灯自动节能功能；（5）设备断电告警；CPU镜像；ARP自动防御；安全防护特性（防DOS攻击，CPU安全防护）；支持动态ARP检测。</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5</w:t>
            </w:r>
            <w:r>
              <w:rPr>
                <w:rFonts w:hint="eastAsia" w:ascii="宋体" w:hAnsi="宋体" w:cs="宋体"/>
                <w:color w:val="000000"/>
                <w:sz w:val="21"/>
                <w:szCs w:val="21"/>
                <w:highlight w:val="none"/>
                <w:lang w:val="en-US" w:eastAsia="zh-CN"/>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高密度增容型无线路由</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1.智能双频段企业级无线路由；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2.频率范围：双频段，信号更强：含2.4GHz频段和5GHz频段；</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3.传输速率：≥1200M，稳定的千兆无线路由；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4.网络接口：≥5个10/100/1000Mbps千兆端口，可带动≥100台网络终端；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5.天线数量：4根天线；天线增益：5dBi；</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6.智慧功能：微信连wifi/防火墙/上网行为管理/VPN/一键拉黑。</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5</w:t>
            </w:r>
            <w:r>
              <w:rPr>
                <w:rFonts w:hint="eastAsia" w:ascii="宋体" w:hAnsi="宋体" w:cs="宋体"/>
                <w:color w:val="000000"/>
                <w:sz w:val="21"/>
                <w:szCs w:val="21"/>
                <w:highlight w:val="none"/>
                <w:lang w:val="en-US" w:eastAsia="zh-CN"/>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天花吸顶空调</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1.5匹冷暖天花机、一级能效；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2.电压/频率：380V/50Hz；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3.制冷量：≥12000W；制热量：≥13600W；</w:t>
            </w:r>
            <w:r/>
          </w:p>
          <w:p>
            <w:pPr>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highlight w:val="none"/>
                <w:lang w:val="en-US" w:eastAsia="zh-CN" w:bidi="ar"/>
              </w:rPr>
              <w:t xml:space="preserve">该产品属于《节能产品政府采购品目清单》范围中政府强制采购产品类别的“A020523 制冷空调设备”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5</w:t>
            </w:r>
            <w:r>
              <w:rPr>
                <w:rFonts w:hint="eastAsia" w:ascii="宋体" w:hAnsi="宋体" w:cs="宋体"/>
                <w:color w:val="000000"/>
                <w:sz w:val="21"/>
                <w:szCs w:val="21"/>
                <w:highlight w:val="none"/>
                <w:lang w:val="en-US" w:eastAsia="zh-CN"/>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综合布线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1.设计部署</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（1）依据国际布线标准ISO/IEC11801:1995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E）和ANSI/TIA/EIA568A；</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（2）参照《中国建筑电气设计规范》《建筑与建筑群综合布线系统工程设计规范》；《建筑与建筑群综合布线系统工程施工及验收规范》（中国工程建设标准化协会标准）；《结构化布线系统设计总则》等；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2.总体要求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（1）一般采用暗线，在地面或墙面开挖线槽，主区线缆走地面线槽通过支管到各终端；通过桌脚钢管通往桌面，避免线头外露，确保安全美观；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（2）特别情况走明线的，须用合金或不锈钢线管包覆；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（3）插线盒一般部署在桌面或桌脚处、嵌入式。</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235</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14:ligatures w14:val="standardContextual"/>
              </w:rPr>
              <w:t xml:space="preserve">5</w:t>
            </w:r>
            <w:r>
              <w:rPr>
                <w:rFonts w:hint="eastAsia" w:ascii="宋体" w:hAnsi="宋体" w:cs="宋体"/>
                <w:color w:val="000000"/>
                <w:sz w:val="21"/>
                <w:szCs w:val="21"/>
                <w:highlight w:val="none"/>
                <w:lang w:val="en-US" w:eastAsia="zh-CN"/>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基础装修改造</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ind w:left="0" w:firstLine="0"/>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、地面装饰处理：235㎡</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采用3.0mm厚商用PVC塑胶卷材地板，产品须符合GB/T 11982.1-2022、GB 18586-2021及GB 8624-2012标准</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地板总厚度≥3.0mm，耐磨层厚度≥0.7mm，耐磨等级T级，耐磨转数≥10000转，防火等级B1级，残余凹陷≤0.10mm，尺寸稳定性≤0.2%</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产品环保性能须满足甲醛未检出，重金属及增塑剂符合国标限量要求</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施工前基层</w:t>
            </w:r>
            <w:r>
              <w:rPr>
                <w:rFonts w:hint="eastAsia" w:ascii="宋体" w:hAnsi="宋体" w:eastAsia="宋体" w:cs="宋体"/>
                <w:color w:val="000000"/>
                <w:sz w:val="21"/>
                <w:szCs w:val="21"/>
                <w:highlight w:val="none"/>
                <w:lang w:eastAsia="zh-CN"/>
              </w:rPr>
              <w:t xml:space="preserve">需</w:t>
            </w:r>
            <w:r>
              <w:rPr>
                <w:rFonts w:hint="eastAsia" w:ascii="宋体" w:hAnsi="宋体" w:eastAsia="宋体" w:cs="宋体"/>
                <w:color w:val="000000"/>
                <w:sz w:val="21"/>
                <w:szCs w:val="21"/>
                <w:highlight w:val="none"/>
              </w:rPr>
              <w:t xml:space="preserve">做界面剂处理及C20自流平水泥找平，采用环保水性专用胶水铺设，板缝热熔焊接，整体无缝、平整、防滑、耐磨、易清洁</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开工前须提供有效期内的产品检测报告、防火检测报告、环保检测报告等证明文件</w:t>
            </w:r>
            <w:r>
              <w:rPr>
                <w:rFonts w:hint="eastAsia" w:ascii="宋体" w:hAnsi="宋体" w:eastAsia="宋体" w:cs="宋体"/>
                <w:b/>
                <w:bCs/>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结合强弱电综合布线、给排水等预制工序综合施工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、天花墙面装饰处理：235㎡</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1.材质：优质环保腻子粉、乳胶漆、阴阳角条；</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进场前提供腻子粉、乳胶漆环保认证证书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br/>
            </w:r>
            <w:r>
              <w:rPr>
                <w:rFonts w:hint="eastAsia" w:ascii="宋体" w:hAnsi="宋体" w:eastAsia="宋体" w:cs="宋体"/>
                <w:color w:val="000000"/>
                <w:sz w:val="21"/>
                <w:szCs w:val="21"/>
                <w:highlight w:val="none"/>
              </w:rPr>
              <w:t xml:space="preserve">2.做法：根据项目情况，综合采用原墙面批灰、腻子填充、平整、粉刷、二次粉刷；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3.结合强弱电综合布线、给排水等预制工序综合施工；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4.颜色：主体白色，根据情况色彩搭配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、灯光照明：1项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1.根据施工图或参考效果图，遵循国家和行业相关标准，综合设计采购并安装灯光照明设备；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2.功能性原则：根据不同空间、不同场合、不同应用对象选择不同的照明方式和灯具，并保证照度均匀，平均照度要求≥500Lux</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235</w:t>
            </w:r>
            <w:r/>
          </w:p>
        </w:tc>
      </w:tr>
      <w:tr>
        <w:trPr>
          <w:trHeight w:val="400"/>
        </w:trPr>
        <w:tc>
          <w:tcPr>
            <w:gridSpan w:val="5"/>
            <w:tcBorders>
              <w:top w:val="single" w:color="000000" w:sz="4" w:space="0"/>
              <w:left w:val="single" w:color="000000" w:sz="4" w:space="0"/>
              <w:bottom w:val="single" w:color="000000" w:sz="4" w:space="0"/>
              <w:right w:val="none" w:color="000000" w:sz="4" w:space="0"/>
            </w:tcBorders>
            <w:tcW w:w="9869" w:type="dxa"/>
            <w:vAlign w:val="center"/>
            <w:textDirection w:val="lrTb"/>
            <w:noWrap w:val="false"/>
          </w:tcPr>
          <w:p>
            <w:pPr>
              <w:jc w:val="left"/>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color w:val="000000"/>
                <w:sz w:val="21"/>
                <w:szCs w:val="21"/>
                <w:highlight w:val="none"/>
                <w14:ligatures w14:val="standardContextual"/>
              </w:rPr>
              <w:t xml:space="preserve">三、智慧宣教录播实训中心</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智慧教室终端</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22"/>
              </w:num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智慧教室终端为嵌入式架构一体化硬件设备，所有应用功能通过讲台高清触控屏操作来完成；</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2.支持账号密码登录、IC卡刷卡登录、二维码扫描登录、人脸识别登录四种登录方式。登录终端后可以自动读取老师信息与权限，自动匹配个人数据；</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讲台高清触控屏尺寸不小于29英寸，21:9显示比例，支持1080p及以上高清显示和多点触控，支持无源电磁笔对高清触控屏的操作，进行圈点批注、白板板书等，同时具备防手掌误触及笔帽擦除功能；内置摄像头、麦克风等功能；</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4.内置教师权限管理模块，支持扫码登录，支持一键开启课程录制，结束后自动上传至学校网络教学平台云盘空间；</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5.内置录播模块，支持不少于6路摄像机画面的接入；</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rPr>
              <w:t xml:space="preserve">6.录播画面在讲台高清触控屏上可实时预览，并支持录制、暂停、停止等操作，录制开启时能在教室显示大屏/投影幕布上呈现准备开始的倒计时；</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7.内置自动导播系统，全自动录制时，具有合理的画面跟踪切换机制，可自动进行教学内容（包含教学电脑、笔记本、无线投屏等）、老师特写、老师全景、学生全景、学生特写等画面的全自动导播切换；</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8.支持远程导播控制，导播画面模式支持单画面、多画面、画中画等，支持手动/自动导播切换和手动/自动跟踪切换；</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9.终端接口要求：HDMI视频输入接口≥3路，HDMI输出接口≥3路，网口≥8路</w:t>
            </w:r>
            <w:r>
              <w:rPr>
                <w:rFonts w:hint="eastAsia" w:ascii="宋体" w:hAnsi="宋体" w:cs="宋体"/>
                <w:sz w:val="21"/>
                <w:szCs w:val="21"/>
                <w:highlight w:val="none"/>
                <w:lang w:eastAsia="zh-CN"/>
                <w14:ligatures w14:val="standardContextual"/>
              </w:rPr>
              <w:t xml:space="preserve">，</w:t>
            </w:r>
            <w:r>
              <w:rPr>
                <w:rFonts w:hint="eastAsia" w:ascii="宋体" w:hAnsi="宋体" w:eastAsia="宋体" w:cs="宋体"/>
                <w:sz w:val="21"/>
                <w:szCs w:val="21"/>
                <w:highlight w:val="none"/>
                <w14:ligatures w14:val="standardContextual"/>
              </w:rPr>
              <w:t xml:space="preserve">RS-232控制接口≥4路；音频MIC输入接口≥5路，每路均支持独立的48V幻象供电开关；音频LINE OUT接口≥1路；投影幕升降接口≥1路；PC控制接口≥1路；无线麦IR接口≥11路；USB接口≥1路；TYPE-C接口≥2路。</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10.内置数字音频处理功能，支持MIC音频混音、增益、降噪等处理，音视频互动中支持回声抑制处理功能；</w:t>
            </w:r>
            <w:r/>
          </w:p>
          <w:p>
            <w:pPr>
              <w:numPr>
                <w:ilvl w:val="0"/>
                <w:numId w:val="23"/>
              </w:num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14:ligatures w14:val="standardContextual"/>
              </w:rPr>
              <w:t xml:space="preserve">内置圈点批注功能，无需启动任何软件工具，支持投屏内容的录制，完整记录老师投屏、圈点批注全过程，并可上传至云盘空间；</w:t>
            </w:r>
            <w:r/>
          </w:p>
          <w:p>
            <w:pPr>
              <w:numPr>
                <w:ilvl w:val="0"/>
                <w:numId w:val="23"/>
              </w:num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14:ligatures w14:val="standardContextual"/>
              </w:rPr>
              <w:t xml:space="preserve">内置白板教学功能，支持教师在授课过程中通过讲台高清触控屏模拟白板粉笔书写来进行板书教学；打开白板能全屏展示到黑板大屏、投影幕布显示；</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13.内置无线投屏</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15.支持在终端设备上一键开启直播，支持多终端观看，可以支持校内、校外远程直播，支持万人在线观看直播学习；</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16.支持大屏共享模式，可一键将教师屏幕共享到小组屏，支持小组互动模式，可一键开启小组多终端投屏互动；</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17.支持在课程录制界面将已录制好的资源一键上传到学校现有网络教学平台个人云盘空间内；</w:t>
            </w:r>
            <w:r/>
          </w:p>
          <w:p>
            <w:pPr>
              <w:jc w:val="left"/>
              <w:widowControl/>
              <w:rPr>
                <w:rFonts w:hint="eastAsia" w:ascii="宋体" w:hAnsi="宋体" w:eastAsia="宋体" w:cs="宋体"/>
                <w:sz w:val="21"/>
                <w:szCs w:val="21"/>
                <w:highlight w:val="none"/>
                <w:lang w:eastAsia="zh-CN"/>
                <w14:ligatures w14:val="standardContextual"/>
              </w:rPr>
            </w:pPr>
            <w:r>
              <w:rPr>
                <w:rFonts w:hint="eastAsia" w:ascii="宋体" w:hAnsi="宋体" w:eastAsia="宋体" w:cs="宋体"/>
                <w:sz w:val="21"/>
                <w:szCs w:val="21"/>
                <w:highlight w:val="none"/>
              </w:rPr>
              <w:t xml:space="preserve">18.智慧教室终端具备远程互动功能：通过讲台高清触控屏操作就可与其他互动教室进行音频和视频互动，并且支持互动界面发起教学活动包括但不限于签到选人主题讨论等功能；</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19.支持通过智慧终端在任意界面下，一键唤醒内</w:t>
            </w:r>
            <w:r>
              <w:rPr>
                <w:rFonts w:hint="eastAsia" w:ascii="宋体" w:hAnsi="宋体" w:eastAsia="宋体" w:cs="宋体"/>
                <w:sz w:val="21"/>
                <w:szCs w:val="21"/>
                <w:highlight w:val="none"/>
                <w14:ligatures w14:val="standardContextual"/>
              </w:rPr>
              <w:t xml:space="preserve">置于智慧黑板的教学互动系统：支持通过智慧课堂控制端在任意界面下，一键唤醒智慧课堂软件系统；支持免密登录互动教学系统；打开课件模块，完成教学相关操作；打开互动教学模块，完成教学活动，投屏，云盘等功能，并完成远程互动操作；</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20.内置AI分析功能，支持对学生表情与行为，以及教师表情与行为做出分析，表情分析维度不限于平常、高兴、害怕、惊讶、生气、难过、厌恶等；教师行为分析维度不限于提问、巡视、上讲台、板书、打电话、讲解等；学生行为分析维度不限于上讲台、应答、独立学习、趴桌子、听讲、起立发言、用手机等；</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21.支持教师在线打开授课PPT时，通过智慧终端显示正在讲课的PPT目录视图，大屏显示PPT播放画面，同时支持通过智慧终端进行跳转任意PPT页码</w:t>
            </w:r>
            <w:r>
              <w:rPr>
                <w:rFonts w:hint="eastAsia" w:ascii="宋体" w:hAnsi="宋体" w:eastAsia="宋体" w:cs="宋体"/>
                <w:sz w:val="21"/>
                <w:szCs w:val="21"/>
                <w:highlight w:val="none"/>
                <w:lang w:eastAsia="zh-CN"/>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智慧终端管理系统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1.支持可视化集中管控终端所有功能；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2.支持统一配置智慧终端网络信息；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3.支持绑定管控平台，并对智慧终端进行相关系统设置；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4.支持统一修改无线网络信息；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5.支持统一设置教室设备串口信息，包括一体机、投影等。</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 </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精品录播系统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1.具备直播、点播、录制管理、导播控制、系统设置、参数修改等功能，支持Linux、mac、Windows多操作系统访问，支持浏览器访问；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2.为保证系统与资源平台进行资源对接，要求系统支持RTP、RTSP、RTMP等音视频传输协议，支持所录制的视频文件FTP自动上传至服务器功能；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3.录制模式支持本地电影模式、资源模式视频录制和双模式同步录制；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4.具有自动导播系统，全自动录制时，具有合理的画面跟踪切换机制，可自动进行教学内容（包含教学电脑、笔记本、无线投屏等）、老师特写、老师全景、学生全景、学生特写等画面的全自动导播切换。</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 </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教师3D跟踪探测器</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1.要求传感器能够对可视范围内所有人物目标追踪，精准标定人物目标三维坐标；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2.要求传感器内置定位检测智能算法，传感器内置视频摄像头和光学感应镜头，双目深度信息测量。传感深度范围：1—9米。接口：RJ45。网络协议：UDP、TCP；</w:t>
            </w:r>
            <w:r>
              <w:rPr>
                <w:rFonts w:hint="eastAsia" w:ascii="宋体" w:hAnsi="宋体" w:eastAsia="宋体" w:cs="宋体"/>
                <w:color w:val="000000"/>
                <w:sz w:val="21"/>
                <w:szCs w:val="21"/>
                <w:highlight w:val="none"/>
              </w:rPr>
              <w:br/>
            </w:r>
            <w:r>
              <w:rPr>
                <w:rFonts w:hint="eastAsia" w:ascii="宋体" w:hAnsi="宋体" w:eastAsia="宋体" w:cs="宋体"/>
                <w:color w:val="auto"/>
                <w:sz w:val="21"/>
                <w:szCs w:val="21"/>
                <w:highlight w:val="none"/>
              </w:rPr>
              <w:t xml:space="preserve">3.传感器实时侦测包含人物高度、纵向距离和横向距离等数据；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4.综合运用景深识别、视觉感知分析、面部识别分析等多种算法，准确定位目标。</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 </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学生3D跟踪探测器</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1.要求传感器能够对可视范围内所有人物目标追踪，精准标定人物目标三维坐标；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2.要求传感器内置定位检测智能算法，传感器内置视频摄像头和光学感应镜头，双目深度信息测量。传感深度范围：1.2—9.8米。接口：RJ45。网络协议：UDP、TCP；</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3.传感器实时侦测包含人物高度、纵向距离和横向距离等数据；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4.综合运用景深识别、视觉感知分析、面部识别分析等多种算法，准确定位目标。</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全自动跟踪系统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1.采用图像识别主动跟踪技术，无需另配跟踪主机，抗干扰性强，教师、学生均无需佩戴任何辅助装置，能够实现全场景跟踪；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全自动录制时，能进行老师特写、老师全景、学生特写、学生全景画面的自动切换。特写镜头支持自动距离识别，可自动调节摄像变焦功能，始终保持老师/学生的最佳特写画面。支持画面的大小、远近距离的预设调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3.自动跟踪系统支持多人员识别与拍摄、单人拍摄特写、多人全景拍摄。支持多种逻辑跟踪策略，支持自定义老师、学生的画面布局。支持VGA信号自动检测跟踪，支持自定义VGA保留时长。</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 </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7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导播系统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1.具备录播控制、导播切换等功能；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2.支持系统的直播预览、录制控制、手动导播切换和摄像机云台控制等功能；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3.直播预览功能：教室内各摄像机视频和VGA信号与导播平板端同步，可以实时通过导播控制客户端进行直播预览观看；支持资源模式多画面和电影模式的预览；方便用户远程实时预览教室场景画面；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4.支持“一键式”录制启停功能，录制时长可选，并可追加录制时长，简化录制操作；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5.导播画面布局设置，支持单画面、画中画等画面布局样式选择，丰富视频场景切换；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6.支持摄像机控制功能，摄像机支持对多个预置位的设置与调用、自定义变倍值的快速变倍。</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云台摄像机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1.传感器类型：1/2.8英寸高品质CMOS传感器；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2.传感器像素：有效像素：200万；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3.视频格式：1080p/60,1080i/60,1080p/50，1080i/50，1080p/30,1080p/25向下兼容；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4.数据接口：SDI，RJ45；</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5.镜头焦距：12倍光学变焦，f＝3.9～46.8mm；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6.支持倒装，支持网口版本升级。</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9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全向麦</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1.音头：背驻极电容头，晶体管输出变压器电路；</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2.指向性：半球心形指向；</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3.频率响应：60</w:t>
            </w:r>
            <w:r>
              <w:rPr>
                <w:rFonts w:hint="eastAsia" w:ascii="宋体" w:hAnsi="宋体" w:cs="宋体"/>
                <w:color w:val="000000"/>
                <w:sz w:val="21"/>
                <w:szCs w:val="21"/>
                <w:highlight w:val="none"/>
                <w:lang w:eastAsia="zh-CN"/>
                <w14:ligatures w14:val="standardContextual"/>
              </w:rPr>
              <w:t xml:space="preserve">—</w:t>
            </w:r>
            <w:r>
              <w:rPr>
                <w:rFonts w:hint="eastAsia" w:ascii="宋体" w:hAnsi="宋体" w:eastAsia="宋体" w:cs="宋体"/>
                <w:color w:val="000000"/>
                <w:sz w:val="21"/>
                <w:szCs w:val="21"/>
                <w:highlight w:val="none"/>
                <w14:ligatures w14:val="standardContextual"/>
              </w:rPr>
              <w:t xml:space="preserve">14000Hz；</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4.灵敏度：-35dBV/Pa(17.8mV/Pa</w:t>
            </w:r>
            <w:r>
              <w:rPr>
                <w:rFonts w:hint="eastAsia" w:ascii="宋体" w:hAnsi="宋体" w:cs="宋体"/>
                <w:color w:val="000000"/>
                <w:sz w:val="21"/>
                <w:szCs w:val="21"/>
                <w:highlight w:val="none"/>
                <w:lang w:eastAsia="zh-CN"/>
                <w14:ligatures w14:val="standardContextual"/>
              </w:rPr>
              <w:t xml:space="preserve">)</w:t>
            </w:r>
            <w:r>
              <w:rPr>
                <w:rFonts w:hint="eastAsia" w:ascii="宋体" w:hAnsi="宋体" w:eastAsia="宋体" w:cs="宋体"/>
                <w:color w:val="000000"/>
                <w:sz w:val="21"/>
                <w:szCs w:val="21"/>
                <w:highlight w:val="none"/>
                <w14:ligatures w14:val="standardContextual"/>
              </w:rPr>
              <w:t xml:space="preserve">；</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5.阻抗：200Ω；</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6.动态范围：106</w:t>
            </w:r>
            <w:bookmarkStart w:id="129" w:name="OLE_LINK2"/>
            <w:r>
              <w:rPr>
                <w:rFonts w:hint="eastAsia" w:ascii="宋体" w:hAnsi="宋体" w:eastAsia="宋体" w:cs="宋体"/>
                <w:color w:val="000000"/>
                <w:sz w:val="21"/>
                <w:szCs w:val="21"/>
                <w:highlight w:val="none"/>
                <w14:ligatures w14:val="standardContextual"/>
              </w:rPr>
              <w:t xml:space="preserve">dB</w:t>
            </w:r>
            <w:bookmarkEnd w:id="129"/>
            <w:r>
              <w:rPr>
                <w:rFonts w:hint="eastAsia" w:ascii="宋体" w:hAnsi="宋体" w:eastAsia="宋体" w:cs="宋体"/>
                <w:color w:val="000000"/>
                <w:sz w:val="21"/>
                <w:szCs w:val="21"/>
                <w:highlight w:val="none"/>
                <w14:ligatures w14:val="standardContextual"/>
              </w:rPr>
              <w:t xml:space="preserve">±5dB；</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7.电源：幻象12-48VDC；</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8.电流耗量：≤3mA；</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9.连接插头：3针XLR-M；</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10.吸顶式隐藏式装。</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支</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 </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10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云直播系统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1.云直播功能，支持多终端观看，与教学平台及APP对接，可在教学APP中定制直播间，同时直播时长、互动数据等均可统计到教学平台，实现无缝对接；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2.支持扫码进入直播间，同时也支持观看地址</w:t>
            </w:r>
            <w:r>
              <w:rPr>
                <w:rFonts w:hint="eastAsia" w:ascii="宋体" w:hAnsi="宋体" w:eastAsia="宋体" w:cs="宋体"/>
                <w:color w:val="000000"/>
                <w:sz w:val="21"/>
                <w:szCs w:val="21"/>
                <w:highlight w:val="none"/>
                <w:lang w:eastAsia="zh-CN"/>
              </w:rPr>
              <w:t xml:space="preserve">链接</w:t>
            </w:r>
            <w:r>
              <w:rPr>
                <w:rFonts w:hint="eastAsia" w:ascii="宋体" w:hAnsi="宋体" w:eastAsia="宋体" w:cs="宋体"/>
                <w:color w:val="000000"/>
                <w:sz w:val="21"/>
                <w:szCs w:val="21"/>
                <w:highlight w:val="none"/>
              </w:rPr>
              <w:t xml:space="preserve">加入直播间；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3.具备直播管理行为，可设置云直播是否允许回放，是否允许评论，是否允许转发等功能。</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11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智慧讲台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1.产品尺寸L*W*H（mm）≥1000*600*1000；900mm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±5）（桌面离地高度）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2.钢木结合，讲桌上下层钣金采用1.0—2.0mm冷轧钢板，保证产品的结构稳定性；桌面采用18MM木质耐刮材料；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3.布局设计：支持放置23.8英寸16:9触控显示器装置；桌面右侧整体平整设计，为教学教具提供更大放置区域；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4.智能讲桌提供外接输入端口；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5.自带机柜：标准钣金机柜设计。</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 </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12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智慧黑板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智慧黑板=触摸互动+白板水笔书写+粉笔书写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产品正面显示为一个由两块拼接而成的平面普通黑板，其中两块为不小于86英寸的触摸屏，整个黑板平面满足白板笔、无尘粉笔与普通粉笔书写的功能。整个黑板结构须为无推拉式，可实现整块黑板在同一平面书写。模块化设计，拆卸方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2.整体外观尺寸：宽度≥4000mm，高度≥1200mm，厚度≤98mm；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3.显示尺寸86英寸，单屏物理分辨率≧3840*2160。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4.内部信号接口：VGA*1；HDMI*2，AV*1，line in*1，内置音频喇叭：2*10w，控制接口：RS232*1，外部接口：HDMI*1；</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5.产品采用国内最先进的纳米电容触控技术，手指轻触式多点（不小于10点触控）互动体验，满足连接Windows操作系统电脑外部设备时正常无障碍使用；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6.内置电脑配置不低于：OPS架构，数据USB*4；处理器：i7处理器；内存：16G，硬盘：512G-SSD固态硬盘；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内置Wi-Fi：IEEE 802.11ac 标准，保证足够的信号强度；内置网卡：10M/100M/1000M,RJ45*1；</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自带window系统。</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 </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13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86寸触控一体机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1.屏幕尺寸：≥86英寸；</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2.分辨率：≥3840（H）×2160（V）（UHD）；</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3.系统版本：Android 11.0或更优；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4.CPU：Quad-core A55或更优；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5.GPU：Mali-G52或更优；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6.内存：≥4G；</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7.存储：≥32GB；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8.触控点数：≥20点；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9.输入端口（IN）：HDMI：≥2组；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10.其他端口：RJ45/LAN端口：≥1组；Touch USB端口：≥1组；RS232端口：≥1组；USB≥1组；Type-C：≥1组；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10.前置物理按键主页键：支持一键返回安卓系统主页；</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11.前置物理按键投屏键：支持一键切换至投屏助手界面，方便学生快速进行小组互动投屏操作；</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14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智慧课堂系统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24"/>
              </w:num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基础功能：</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1.1.智慧课堂系统由课程建设模块、智慧课堂控制端、智慧课堂教师端、智慧课堂小组端、智慧</w:t>
            </w:r>
            <w:r>
              <w:rPr>
                <w:rFonts w:hint="eastAsia" w:ascii="宋体" w:hAnsi="宋体" w:eastAsia="宋体" w:cs="宋体"/>
                <w:sz w:val="21"/>
                <w:szCs w:val="21"/>
                <w:highlight w:val="none"/>
              </w:rPr>
              <w:t xml:space="preserve">课堂移动端、智慧课堂AI语音助手构成，实现课前课程建设、课中教学互动、多屏互动教学、对比教学、分组研讨等功能；</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1.2.智慧课堂系统具备用户管理功能，支持与学校现有教学平台用户数据无缝对接；</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1.3.智慧课堂系统要求与学校现有教学平台数据对接，共享课程数据、备课资料、班级数据、题库、作业、试卷等，实现智慧教室与课前资源的连贯性</w:t>
            </w:r>
            <w:r>
              <w:rPr>
                <w:rFonts w:hint="eastAsia" w:ascii="宋体" w:hAnsi="宋体" w:eastAsia="宋体" w:cs="宋体"/>
                <w:b/>
                <w:bCs/>
                <w:sz w:val="21"/>
                <w:szCs w:val="21"/>
                <w:highlight w:val="none"/>
              </w:rPr>
              <w:t xml:space="preserve">（★提供承诺函，格式自拟。承诺内容为所投系统能对接学校现有平台，如无法实现对接，也可用所投产品品牌为校方重建平台并把原有平台设备免费接入现平台，把校方原有教学资源迁移至新平台并实现原有全部功能）</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1.4.智慧课堂系统在授课过程中所产生的教学数据需要自动汇总到学校现有教学平台包括但不仅限于课中签到数据，课中随机选人数据，课中评分数据，课中主题讨论数据等；</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1.5.支持PC端和移动端等主流设备使用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2.智慧课堂课程建设模块：</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2.1.支持制作富媒体课程，选择不同的模板就可以建设慕课或精品课程的个性化课程网站，所建课程自动同步到学校现有教学平台中；</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2.2.提供多套精美网络课程建课模板，教师可依据个人资料的丰富程度及喜欢的风格进行个性化的设置，支持教师在建课程自动生成课程网站；</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2.3.支持课程创建者按周、课时自动生成课程章节，快速创建课程章节目录，也可以选择模板导入形式创建课程目录，提升建课效率；</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2.4.支持课程负责人指派其他人共建同一门课程，也可为自己指定助教辅助自己进行课程建设和教学管理。并且可以对助教的权限进行设置，比如，是否允许查看成绩、允许管理作业、允许管理考试、允许管理论坛、允许发布通知、允许管理课程设置等；</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2.5.支持慕课制作和慕课教学模式，实现课程知识单元化，每个知识单元聚合丰富的富媒体教学资源，并在同一个页面中进行显示；</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2.6.教师可通过系统上传课程所需要的教材、参考书、参考文献、视频等资源；</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2.7.支持多种文档格式的上传，包括DOC、PPT、PDF、TXT等，上传后自动转码，无需下载可以直接在线阅读；</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2.8.支持教学视频任意时间点可插入测验题、图片、</w:t>
            </w:r>
            <w:r>
              <w:rPr>
                <w:rFonts w:hint="eastAsia" w:ascii="宋体" w:hAnsi="宋体" w:eastAsia="宋体" w:cs="宋体"/>
                <w:sz w:val="21"/>
                <w:szCs w:val="21"/>
                <w:highlight w:val="none"/>
                <w14:ligatures w14:val="standardContextual"/>
              </w:rPr>
              <w:t xml:space="preserve">PPT，插入的测试题支持单选题、多选题和对错题等题型，插入的内容在时间轴上随意拖动，插入的PPT可以跟视频窗口进行切换；</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2.9.支持视频的虚拟剪辑，可以将视频文件按照课程的要求剪辑成适当长度；</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2.10.支持视频打开“防拖拽和防窗口切换”，学生观看时无法进行快进播放，切出系统界面自动停止播放；</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2.11.知识点拓展阅读功能，可以根据一个关键词自动生成相关知识点的知识树，</w:t>
            </w:r>
            <w:r>
              <w:rPr>
                <w:rFonts w:hint="eastAsia" w:ascii="宋体" w:hAnsi="宋体" w:eastAsia="宋体" w:cs="宋体"/>
                <w:sz w:val="21"/>
                <w:szCs w:val="21"/>
                <w:highlight w:val="none"/>
                <w:lang w:eastAsia="zh-CN"/>
                <w14:ligatures w14:val="standardContextual"/>
              </w:rPr>
              <w:t xml:space="preserve">插入</w:t>
            </w:r>
            <w:r>
              <w:rPr>
                <w:rFonts w:hint="eastAsia" w:ascii="宋体" w:hAnsi="宋体" w:eastAsia="宋体" w:cs="宋体"/>
                <w:sz w:val="21"/>
                <w:szCs w:val="21"/>
                <w:highlight w:val="none"/>
                <w14:ligatures w14:val="standardContextual"/>
              </w:rPr>
              <w:t xml:space="preserve">课程单元中，并自动推送知识点相关的图书、期刊、论文等资料；</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2.12.支持使用示范教学包建课，示范教学包需整合本科、中高职、基础教育等各层次院校，各学科、专业的资源，教师可以在建课时引用示范教学包中的课程资源、课堂活动示例、题库等内容，同时可以根据教师自己课程的需要进行重新组合使用。</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3.智慧课堂大屏端：</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采用安装包的形式，安装到教室大屏中；</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3.1课件调用：</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3.1.1支持软件内唤起电脑应用程序打开本地PPT、视频、HTML、设计源文件、软件代码等文件。</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3.1.2云盘：为每个师生账号提供云盘空间，支持上传文件夹、上传文件、打开文件、新建文件夹、重命名、删除、搜索文件；可以随时调用云盘内容，支持云盘资源的在线预览；支持将云盘中PPT文件直接点击上课使用；</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3.1.3可直接调取学校现有教学平台已建的课程资源，包含课程章节内容、作业模块、考试模块、教案等内容。支持教师在课堂中，随时调用备课系统中事先准备好的内容，实现课前、课中、课后的连贯性；</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3.1.4.PPT文件：支持打开课程已有PPT，并可直接点击上课，并支持手机翻页、激光笔和聚光灯功能，PPT播放支持动画、翻页效果；课后需统计教师每页PPT的打开时间、停留时长等信息；</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3.2课堂活动：</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3.2.1.签到：支持教师通过智慧课堂系统发起普通签到、手势签到、位置签到、二维码签到等多种签到方式功能，学生通过移动端进行签到，教师端实时显示学生的签到情况，同时记录汇总到学校现有教学平台； </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3.2.2.选人：支持教师发起随机选人，屏幕上快速滚动学生的头像信息，支持多次选入，分别赋予分值并统计到学生个人成绩中；</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3.2.3.抢答：支持教师发起抢答，教师可以看到所有学生的抢答情况；</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3.2.4.主题讨论：支持教师发起主题讨论，学生端收到讨论点击进行发表自己的看法，支持文字、图片等方式上传，并可在大屏展示讨论结果，生成词云分析；</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3.2.5.随堂练习：支持发送随堂练习给学生，支持在PC、手机终端查看学生答题结果及答题情况分析；练习题型类型至少包括单选题、多选题、判断题、客观题等常见题型，支持从网络教学平台教师原有课程题库导入；学生可使用录入文字、拍照上传等多种方式进行答题。</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3.2.6.发放问卷：问卷编辑需支持自定义编辑或从网络教学平台教师原有问卷库导入等方式。问卷包含单选题、多选题、简答题等常见题型。 </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3.2.7.分组讨论：可以实现线上小组互动讨论。教师可总览各个小组讨论情况，并对小组成员进行移入、移出、解散等操作。</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3.2.8.可以对单个学生或互动小组等进行生生互评。</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3.2.9.白板：教师可通过白板手写板书，板书完成后支持保存到教师个人云盘。</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3.2.10.以上课堂活动均将结果数据汇总到学校网络教学平台中。</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3.2.11.支持同时给一个或多个班级上课，若为多个班级同时上课，支持将签到、抢答、选人等课堂活动同时发放到多个班级。</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3.2.12.同步课堂：教师通过智慧课堂系统讲解 PPT过程中，学生可通过移动终端 APP， 实时收看授课 PPT，并听到授课声音，讲解完成，可将 PPT 内容和语音生成速课资源，保存在云盘。</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3.2.13.分屏功能：教师通过智慧课堂系统授课，教师端大屏可分成两部分，一部分 展示教师 PPT课件，另一部分可发布相关教学活动。分屏模式下，PPT 展示屏部分，具有画笔功能，教师可通过触控大屏进行 PPT 批注讲解等。</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3.3多屏互动：</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3.3.1.共享本机屏幕：共享时，可选择共享桌面，也可选择单一浏览器、PPT等其他软件窗口，支持选择是否开启画中画、同时共享电脑声音；支持将授课设备屏幕或窗口共享给侧屏、学生设备、线上课堂内成员；</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3.3.2.共享学生设备：支持同时选择不少于4位学生，将学生屏幕展示到授课电脑或大屏上，学生屏幕包含移动设备、pad、Windows电脑、Mac；支持多学生屏幕以宫格视图展示和一位学生屏幕放大展示两种视图切换；教师可控制是否投屏学生设备声音及关闭学生屏幕共享；</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3.3.3.小组侧屏展示：支持同时展示不少于4个侧屏屏幕，侧屏系统支持Windows、Android，支持以宫格视图展示多个侧屏和一个侧屏放大展示两种视图切换；教师可控制是否投屏小组侧屏声音及关闭侧屏屏幕共享；</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3.3.4.投屏：无同一局域网、Wi-Fi网络限制，可使用4G、5G、Wi-Fi、有线网络、蜂窝网络等网络支持将手机、pad、PC桌面及设备声音投屏到授课电脑上</w:t>
            </w:r>
            <w:r>
              <w:rPr>
                <w:rFonts w:hint="eastAsia" w:ascii="宋体" w:hAnsi="宋体" w:eastAsia="宋体" w:cs="宋体"/>
                <w:sz w:val="21"/>
                <w:szCs w:val="21"/>
                <w:highlight w:val="none"/>
                <w:lang w:eastAsia="zh-CN"/>
                <w14:ligatures w14:val="standardContextual"/>
              </w:rPr>
              <w:t xml:space="preserve">；</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3.4线上课堂：</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3.4.1.性能要求：支持万人同时使用，支持不少于3000的同一课堂使用；支持不少于2000人同时文字聊天，不少于30人语音视频互动。支持720P、1080P（HD）、HD+等高清画质视频；支持动态调整视频流的大小，适用于不同网络环境以及需要进行视频窗格切换的场景。在音频交互、降噪等场景下提供更好的声音质量，支持回声消除、自动噪声抑制、自动增益控制，适应各种音频环境，对用户的通话内容进行</w:t>
            </w:r>
            <w:r>
              <w:rPr>
                <w:rFonts w:hint="eastAsia" w:ascii="宋体" w:hAnsi="宋体" w:eastAsia="宋体" w:cs="宋体"/>
                <w:sz w:val="21"/>
                <w:szCs w:val="21"/>
                <w:highlight w:val="none"/>
              </w:rPr>
              <w:t xml:space="preserve">加密，防止</w:t>
            </w:r>
            <w:r>
              <w:rPr>
                <w:rFonts w:hint="eastAsia" w:ascii="宋体" w:hAnsi="宋体" w:cs="宋体"/>
                <w:sz w:val="21"/>
                <w:szCs w:val="21"/>
                <w:highlight w:val="none"/>
                <w:lang w:eastAsia="zh-CN"/>
              </w:rPr>
              <w:t xml:space="preserve">信息泄露</w:t>
            </w:r>
            <w:r>
              <w:rPr>
                <w:rFonts w:hint="eastAsia" w:ascii="宋体" w:hAnsi="宋体" w:eastAsia="宋体" w:cs="宋体"/>
                <w:sz w:val="21"/>
                <w:szCs w:val="21"/>
                <w:highlight w:val="none"/>
              </w:rPr>
              <w:t xml:space="preserve">。直播延迟小于500ms，学生端观看延时在400～800 ms。</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3.4.2.身份角色：教师即为课堂创建者，有权将学生设置为助教；将学生移出课堂；向学生发送解除静音或开启视频的请求；强制学生和助教静音和关闭摄像头；助教身份支持将学生移出课堂；向学生发送解除静音或开启视频的请求；强制学生静音和关闭摄像头；进行成员比对和查看比对历史；课堂录制；发布、删除和编辑公告；发布分组讨论、签到等活动。</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3.4.3.须具备课堂录制功能，录制的课堂视频能回传至个人云盘中，通过对接网络教学平台实现站内课堂录制消息提醒服务；</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3.5同声翻译：支持将教师语音实时转换为文字，并根据前后文语义动态纠正文字；支持实时翻译教师语音，识别及翻译语种包含中、英、德、法、日、俄、西班牙、韩、阿拉伯、葡萄牙、印度等</w:t>
            </w:r>
            <w:r>
              <w:rPr>
                <w:rFonts w:hint="eastAsia" w:ascii="宋体" w:hAnsi="宋体" w:eastAsia="宋体" w:cs="宋体"/>
                <w:sz w:val="21"/>
                <w:szCs w:val="21"/>
                <w:highlight w:val="none"/>
                <w14:ligatures w14:val="standardContextual"/>
              </w:rPr>
              <w:t xml:space="preserve">多语种</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3.6辅助教学工具：支持画笔、激光笔、橡皮擦、清除、形状、线条、文字输入；支持白板功能，在白板下支持画笔、激光笔、橡皮擦、清除、形状、线条、文字输入、添加文件、修改本景色；板书完成后支持转发给学生或保存到云盘；支持切换窗口，支持在软件内快速切换至桌面、其他软件操作窗口、本软件窗口等。</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4.智慧课堂小组侧屏端：</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采用客户端安装包的形式，安装到教室侧屏；</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4.1.支持安卓学生端通过扫码将屏幕镜像投屏显示到侧屏；</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4.2.支持IOS、PC设备通过镜像直接显示到侧屏；</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4.3.配合智慧课堂大屏端完成多屏互动的功能；</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4.4.所有投屏操作，无同一局域网、Wi-Fi网络限制，可使用4G、5G、Wi-Fi、有线网络、蜂窝网络等网络支持将手机、pad、PC桌面及设备声音投屏到授课电脑上</w:t>
            </w:r>
            <w:r>
              <w:rPr>
                <w:rFonts w:hint="eastAsia" w:ascii="宋体" w:hAnsi="宋体" w:eastAsia="宋体" w:cs="宋体"/>
                <w:sz w:val="21"/>
                <w:szCs w:val="21"/>
                <w:highlight w:val="none"/>
                <w:lang w:eastAsia="zh-CN"/>
                <w14:ligatures w14:val="standardContextual"/>
              </w:rPr>
              <w:t xml:space="preserve">。</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5.智慧课堂AI语音助手：</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5.1启动程序后自动开启桌面挂件，并置于桌面最上层，可随意拖动到桌面任意位置</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5.2支持语音唤醒、双击唤醒、按钮唤醒等多种唤醒方式</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5.3实现语音回答平台使用方式、基础问题、知识问答等多种问题</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5.4支持执行语音指令，如发签到、打开白板、打开课程、开关摄像头、切换窗口等</w:t>
            </w:r>
            <w:r>
              <w:rPr>
                <w:rFonts w:hint="eastAsia" w:ascii="宋体" w:hAnsi="宋体" w:eastAsia="宋体" w:cs="宋体"/>
                <w:sz w:val="21"/>
                <w:szCs w:val="21"/>
                <w:highlight w:val="none"/>
                <w:lang w:eastAsia="zh-CN"/>
                <w14:ligatures w14:val="standardContextual"/>
              </w:rPr>
              <w:t xml:space="preserve">。</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6.智慧课堂移动端：</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6.1.具有移动客户端，支持iOS和Android操作系统，用于手机、Pad等智能移动终端中，实现在线移动学习；</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6.2.PC端与移动端的学习进度保持同步，学生在任何终端上，都可以实现学习记录的持续性，系统也可对任何终端的学习行为进行监控；</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6.3.移动端满足课前课中课后使用，可基于课程形成师生互动交流群，实时进行</w:t>
            </w:r>
            <w:r>
              <w:rPr>
                <w:rFonts w:hint="eastAsia" w:ascii="宋体" w:hAnsi="宋体" w:eastAsia="宋体" w:cs="宋体"/>
                <w:sz w:val="21"/>
                <w:szCs w:val="21"/>
                <w:highlight w:val="none"/>
                <w:lang w:eastAsia="zh-CN"/>
                <w14:ligatures w14:val="standardContextual"/>
              </w:rPr>
              <w:t xml:space="preserve">即时通信</w:t>
            </w:r>
            <w:r>
              <w:rPr>
                <w:rFonts w:hint="eastAsia" w:ascii="宋体" w:hAnsi="宋体" w:eastAsia="宋体" w:cs="宋体"/>
                <w:sz w:val="21"/>
                <w:szCs w:val="21"/>
                <w:highlight w:val="none"/>
                <w14:ligatures w14:val="standardContextual"/>
              </w:rPr>
              <w:t xml:space="preserve">，进行讨论与交流，教师和学生可以开展话题讨论，利用发帖形式进行小组话题交流；</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6.4.可以阅读海量电子图书、报纸、期刊、专题等资源，可以订阅到自己的空间，并进行分类管理；可以对所有精彩的内容进行分享；</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6.5.基于真实身份、课程、读书等学习行为及学生活动的社交互动，引发学习激励。包括：小组、私有笔记、共享笔记、阅读时间等；</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6.6.支持手机端、电脑端发起视频直播，学生可以通过手机观看直播并留言。</w:t>
            </w:r>
            <w:r>
              <w:rPr>
                <w:rFonts w:hint="eastAsia" w:ascii="宋体" w:hAnsi="宋体" w:eastAsia="宋体" w:cs="宋体"/>
                <w:sz w:val="21"/>
                <w:szCs w:val="21"/>
                <w:highlight w:val="none"/>
                <w14:ligatures w14:val="standardContextual"/>
              </w:rPr>
              <w:br/>
            </w:r>
            <w:r>
              <w:rPr>
                <w:rFonts w:hint="eastAsia" w:ascii="宋体" w:hAnsi="宋体" w:eastAsia="宋体" w:cs="宋体"/>
                <w:sz w:val="21"/>
                <w:szCs w:val="21"/>
                <w:highlight w:val="none"/>
                <w14:ligatures w14:val="standardContextual"/>
              </w:rPr>
              <w:t xml:space="preserve">6.7.支持异地同步课堂能够真实还原面授教学场景，实现零距离伴随式学习，学生可以远程通过移动端同步参与课堂，实现双向或多向互动的同步课堂；</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6.8.通知：教师可发布通知，查看已读、未读通知的学生信息，针对未读通知的学生一键提醒，方式至少包含短信、电话、微信及移动客户端提醒。</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15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数字红外无线系统主机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25"/>
              </w:num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采用红外音频传输及控制技术；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2.可连接PC进行网页控制与管理，搭配教学扩声管理平台可显示设备连接状态、充电状态等信息。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3.具有2个无线麦克风同时工作的功能，方便老师与学生互动；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4.内置功放，不少于4个音箱输出接口，功率：≥60W×2</w:t>
            </w:r>
            <w:r>
              <w:rPr>
                <w:rFonts w:hint="eastAsia" w:ascii="宋体" w:hAnsi="宋体" w:eastAsia="宋体" w:cs="宋体"/>
                <w:color w:val="000000"/>
                <w:sz w:val="21"/>
                <w:szCs w:val="21"/>
                <w:highlight w:val="none"/>
                <w:lang w:eastAsia="zh-CN"/>
              </w:rPr>
              <w:t xml:space="preserve">；</w:t>
            </w:r>
            <w:r/>
          </w:p>
          <w:p>
            <w:pPr>
              <w:numPr>
                <w:ilvl w:val="0"/>
                <w:numId w:val="0"/>
              </w:num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5.线路输入/输出接口：≥2路线路输入，≥2路线路输出；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6.1个数字接口连接电脑实现数字音频信号双向无损传输；</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7.频率响应：主机线路－主机：≥50 Hz ~ 20 kHz</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8.控制主机具有RS-232连接串口，用于连接中控系统，可实现集中控制</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16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数字红外接收器</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1.数字红外音频传输及控制技术，不受高频驱动光源干扰，可正常工作于阳光下的环境；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2.接收频点可调；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3.接收角度：垂直：150°(±75°</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，水平：360°；辐射距离：≥18m。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17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手持麦克风</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1.包含一支有线麦克风及一支无线红外手持麦克风；</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2.有线鹅颈麦标配60 cm话筒杆，自带无线手持麦充电座，多用途智能扩声；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3.教室与教室之间保证互不干扰，无论多少个教室安装，同时使用都不会有串频和干扰现象；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4.红外麦克风在不同教室之间使用，无需对频，即开即用，简单方便。</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18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线阵列音柱</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1.线阵列音柱；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2.宽频响：输出音量高，频响带宽平直，最低频率可低至80 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3.定阻输入：6Ω；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4.额定功率≥60W；</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5.灵敏度≥90dB。</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19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小蜜蜂麦克风</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1.连接方式：蓝牙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2.支持内置电池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3.充电电压：5V</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4.电池容量：4000mAh</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18</w:t>
            </w:r>
            <w:r/>
          </w:p>
        </w:tc>
      </w:tr>
      <w:tr>
        <w:trPr>
          <w:trHeight w:val="1651"/>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平板电脑</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1.产品形态：二合一平板（支持多模式切换）</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2.硬件参数：≥i7-1260U/16GB/1T</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屏幕≥12.6 英寸 OLED 屏</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A02010107 平板式微型计算机</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5135"/>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21 </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六角组合式桌椅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26"/>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桌子：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1）要求：拼接6角桌</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2）材质：面板采用E0级三聚氰胺板，防水、防磨、甲醛、重金属等有害物含量达标；</w:t>
            </w:r>
            <w:r>
              <w:rPr>
                <w:rFonts w:hint="eastAsia" w:ascii="宋体" w:hAnsi="宋体" w:eastAsia="宋体" w:cs="宋体"/>
                <w:b/>
                <w:bCs/>
                <w:color w:val="000000"/>
                <w:sz w:val="21"/>
                <w:szCs w:val="21"/>
                <w:highlight w:val="none"/>
              </w:rPr>
              <w:t xml:space="preserve">（供货时供具备CNAS/CMA/SGS资质的第三方检测机构出具的有效检测报告）</w:t>
            </w:r>
            <w:r>
              <w:rPr>
                <w:rFonts w:hint="eastAsia" w:ascii="宋体" w:hAnsi="宋体" w:eastAsia="宋体" w:cs="宋体"/>
                <w:color w:val="000000"/>
                <w:sz w:val="21"/>
                <w:szCs w:val="21"/>
                <w:highlight w:val="none"/>
              </w:rPr>
              <w:t xml:space="preserve">                                             </w:t>
            </w:r>
            <w:r/>
          </w:p>
          <w:p>
            <w:pPr>
              <w:numPr>
                <w:ilvl w:val="0"/>
                <w:numId w:val="27"/>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封边：Z型PVC封边条，</w:t>
            </w:r>
            <w:r>
              <w:rPr>
                <w:rFonts w:hint="eastAsia" w:ascii="宋体" w:hAnsi="宋体" w:eastAsia="宋体" w:cs="宋体"/>
                <w:color w:val="000000"/>
                <w:sz w:val="21"/>
                <w:szCs w:val="21"/>
                <w:highlight w:val="none"/>
                <w:lang w:eastAsia="zh-CN"/>
              </w:rPr>
              <w:t xml:space="preserve">胶黏剂</w:t>
            </w:r>
            <w:r>
              <w:rPr>
                <w:rFonts w:hint="eastAsia" w:ascii="宋体" w:hAnsi="宋体" w:eastAsia="宋体" w:cs="宋体"/>
                <w:color w:val="000000"/>
                <w:sz w:val="21"/>
                <w:szCs w:val="21"/>
                <w:highlight w:val="none"/>
              </w:rPr>
              <w:t xml:space="preserve">，做工精细，不开胶，无裂缝，封边条颜色可选；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）脚架：采用优质冷轧钢钢管，表面环保静电粉末喷涂技术处理，防磨、耐污；                                                               5）五金配件：桌面预埋五金设计，每张桌子中间连接处带有卡扣，组合的时候可以固定，组合在一起中间有空隙，可以方便电源线通过；                                                                    6）轮子：带PP万向轮，万向轮可锁定，带地面找平调节功能。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2、椅子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 技术要求：椅背为塑胶椅背，人体工学设计，久坐也不会感到疲劳；椅子底部带有滑轮，可方便移动。6把椅子与桌子组成一组桌椅。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 材质：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靠背：定制尼龙网纹布，防污、防静电、耐磨、耐刮划、透气、阻燃；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椅架：钢制椅架，表面环保粉末喷涂处理，抗酸碱，抗氧化，耐刮划，带PP万向轮。</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22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路由器</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1.LAN输出口：千兆网口；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2.WAN接入口：千兆网口；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3.机身材质工艺：金属机身；</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4.企业VPN：支持；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5.≥8口PoE供电。</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23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24口交换机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≥24口千兆交换机。</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综合布线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1.设计部署</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（1）依据国际布线标准ISO/IEC11801:1995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E）和ANSI/TIA/EIA568A；</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（2）参照《中国建筑电气设计规范》《建筑与建筑群综合布线系统工程设计规范》；《建筑与建筑群综合布线系统工程施工及验收规范》（中国工程建设标准化协会标准）；《结构化布线系统设计总则》等；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2.总体要求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（1）一般采用暗线，在地面或墙面开挖线槽，主区线缆走地面线槽通过支管到各终端；通过桌脚钢管通往桌面，避免线头外露，确保安全美观；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（2）特别情况走明线的，须用合金或不锈钢线管包覆；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（3）插线盒一般部署在桌面或桌脚处、嵌入式。</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120</w:t>
            </w:r>
            <w:r/>
          </w:p>
        </w:tc>
      </w:tr>
      <w:tr>
        <w:trPr>
          <w:trHeight w:val="5233"/>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25 </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教室装修</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提供空间设计，提供布局图、布线图、效果图、施工图，根据校方最终确认版效果图完成基础空间的重构和装修施工服务。地面铺设地胶，墙面吸音处理，顶部灯光改造，强弱电改造。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1.地面：采用3.0mm厚商用PVC塑胶卷材地板，产品须符合GB/T 11982.1-2022、GB 18586-2021及GB 8624-2012标准。</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地板总厚度≥3.0mm，耐磨层厚度≥0.7mm，耐磨等级T级，耐磨转数≥10000转，防火等级B1级，残余凹陷≤0.10mm，尺寸稳定性≤0.2%。</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产品环保性能须满足甲醛未检出，重金属及增塑剂符合国标限量要求。</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施工前基层须做界面剂处理及C20自流平水泥找平，采用环保水性专用胶水铺设，板缝热熔焊接，整体无缝、平整、防滑、耐磨、易清洁。</w:t>
            </w:r>
            <w:r/>
          </w:p>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开工前须提供有效期内的产品检测报告、防火检测报告、环保检测报告等证明文件。结合强弱电综合布线、给排水等预制工序综合施工；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2.墙面吸音：聚酯纤维板或穿孔吸音板，根据效果图定制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3.灯光，采用三基色，教师讲台区灯光功率25W/平方米，学生听课区灯光功率 15W/平方米，观摩听课区灯光功率 10W/平方米，灯</w:t>
            </w:r>
            <w:r>
              <w:rPr>
                <w:rFonts w:hint="eastAsia" w:ascii="宋体" w:hAnsi="宋体" w:cs="宋体"/>
                <w:color w:val="000000"/>
                <w:sz w:val="21"/>
                <w:szCs w:val="21"/>
                <w:highlight w:val="none"/>
                <w:lang w:val="en-US" w:eastAsia="zh-CN"/>
              </w:rPr>
              <w:t xml:space="preserve">光</w:t>
            </w:r>
            <w:r>
              <w:rPr>
                <w:rFonts w:hint="eastAsia" w:ascii="宋体" w:hAnsi="宋体" w:eastAsia="宋体" w:cs="宋体"/>
                <w:color w:val="000000"/>
                <w:sz w:val="21"/>
                <w:szCs w:val="21"/>
                <w:highlight w:val="none"/>
              </w:rPr>
              <w:t xml:space="preserve">色温 6500K，均匀布光，每个区域灯光电源独立控制。线材需采用国标 4.0mm、2.5mm 铜线；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4.窗帘：遮光窗帘，宽褶皱，遮光、隔音、吸音效果好，颜色根据现场环境搭配，含导轨，褶皱率大于50%。颜色根据校方要求选定；</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5.吊顶：方通或者石膏板造型，根据效果图定制</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120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1.5匹挂机空调</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变频，一级能效，制冷功率≤840w，制热功率≤1250w，制冷量≥3510w，制热量≥5010w。</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cs="宋体"/>
                <w:b/>
                <w:bCs/>
                <w:sz w:val="21"/>
                <w:szCs w:val="21"/>
                <w:highlight w:val="none"/>
                <w:lang w:val="en-US" w:eastAsia="zh-CN"/>
              </w:rPr>
              <w:t xml:space="preserve">A020523 制冷空调设备</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天花吸顶空调</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1.5匹冷暖天花机、一级能效；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2.电压/频率：380V/50Hz；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3.制冷量：≥12000W；制热量：≥13600W</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cs="宋体"/>
                <w:b/>
                <w:bCs/>
                <w:sz w:val="21"/>
                <w:szCs w:val="21"/>
                <w:highlight w:val="none"/>
                <w:lang w:val="en-US" w:eastAsia="zh-CN"/>
              </w:rPr>
              <w:t xml:space="preserve">A020523 制冷空调设备</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r>
      <w:tr>
        <w:trPr>
          <w:trHeight w:val="400"/>
        </w:trPr>
        <w:tc>
          <w:tcPr>
            <w:gridSpan w:val="5"/>
            <w:tcBorders>
              <w:top w:val="single" w:color="000000" w:sz="4" w:space="0"/>
              <w:left w:val="single" w:color="000000" w:sz="4" w:space="0"/>
              <w:bottom w:val="single" w:color="000000" w:sz="4" w:space="0"/>
              <w:right w:val="none" w:color="000000" w:sz="4" w:space="0"/>
            </w:tcBorders>
            <w:tcW w:w="9869" w:type="dxa"/>
            <w:vAlign w:val="center"/>
            <w:textDirection w:val="lrTb"/>
            <w:noWrap w:val="false"/>
          </w:tcPr>
          <w:p>
            <w:pPr>
              <w:jc w:val="left"/>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color w:val="000000"/>
                <w:sz w:val="21"/>
                <w:szCs w:val="21"/>
                <w:highlight w:val="none"/>
                <w14:ligatures w14:val="standardContextual"/>
              </w:rPr>
              <w:t xml:space="preserve">四、身心调适中心</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情绪识别训练提升系统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28"/>
              </w:num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rPr>
              <w:t xml:space="preserve">平台功能：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14:ligatures w14:val="standardContextual"/>
              </w:rPr>
              <w:t xml:space="preserve">基于情绪心理学相关理论、自助成长的理念，</w:t>
            </w:r>
            <w:r>
              <w:rPr>
                <w:rFonts w:hint="eastAsia" w:ascii="宋体" w:hAnsi="宋体" w:eastAsia="宋体" w:cs="宋体"/>
                <w:color w:val="auto"/>
                <w:sz w:val="21"/>
                <w:szCs w:val="21"/>
                <w:highlight w:val="none"/>
              </w:rPr>
              <w:t xml:space="preserve">AI多模态情绪识别</w:t>
            </w:r>
            <w:r>
              <w:rPr>
                <w:rFonts w:hint="eastAsia" w:ascii="宋体" w:hAnsi="宋体" w:eastAsia="宋体" w:cs="宋体"/>
                <w:color w:val="auto"/>
                <w:sz w:val="21"/>
                <w:szCs w:val="21"/>
                <w:highlight w:val="none"/>
                <w14:ligatures w14:val="standardContextual"/>
              </w:rPr>
              <w:t xml:space="preserve">技术，提供倒计时为30秒的快速情绪识别，识别中提示积极词语引导，帮助用户洞察内心，了解自我情绪。</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14:ligatures w14:val="standardContextual"/>
              </w:rPr>
              <w:t xml:space="preserve">支持通过每日一签记录如忧郁、惊讶、快乐、平静、愤怒等≥5种心情，提供如学习、朋友、生活、工作、健康等≥10种主题选项，支持输入经历和感受等心情日记。</w:t>
            </w:r>
            <w:r>
              <w:rPr>
                <w:rFonts w:hint="eastAsia" w:ascii="宋体" w:hAnsi="宋体" w:eastAsia="宋体" w:cs="宋体"/>
                <w:color w:val="auto"/>
                <w:sz w:val="21"/>
                <w:szCs w:val="21"/>
                <w:highlight w:val="none"/>
              </w:rPr>
              <w:t xml:space="preserve">支持月度统计（脑疲劳趋势，集中度趋势，活力度趋势，情绪变化趋势，状态统计趋势，抑郁趋势，自信趋势，不安趋势，能量趋势，自我调节趋势）展示每个人月度检测次数。</w:t>
            </w:r>
            <w:r>
              <w:rPr>
                <w:rFonts w:hint="eastAsia" w:ascii="宋体" w:hAnsi="宋体" w:eastAsia="宋体" w:cs="宋体"/>
                <w:color w:val="auto"/>
                <w:sz w:val="21"/>
                <w:szCs w:val="21"/>
                <w:highlight w:val="none"/>
                <w14:ligatures w14:val="standardContextual"/>
              </w:rPr>
              <w:t xml:space="preserve">（</w:t>
            </w:r>
            <w:r>
              <w:rPr>
                <w:rFonts w:hint="eastAsia" w:ascii="宋体" w:hAnsi="宋体" w:eastAsia="宋体" w:cs="宋体"/>
                <w:b/>
                <w:bCs/>
                <w:color w:val="auto"/>
                <w:sz w:val="21"/>
                <w:szCs w:val="21"/>
                <w:highlight w:val="none"/>
              </w:rPr>
              <w:t xml:space="preserve">▲提供实现此功能的截图，格式自拟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3、报告支持下载、打印。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14:ligatures w14:val="standardContextual"/>
              </w:rPr>
              <w:t xml:space="preserve">支持管理员账号进行用户管理，可添加用户，并对已存在的账号进行查看、编辑、删除等操作。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14:ligatures w14:val="standardContextual"/>
              </w:rPr>
              <w:t xml:space="preserve">要求屏幕尺寸：32英寸。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二、分析软件：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1、支持非接触、无感知方式检测。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2、支持自动判定结果，输出报告，编号自动录入。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3、支持自定义显示报告内容。</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AI心理对话舱系统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0"/>
              </w:numPr>
              <w:jc w:val="left"/>
              <w:widowControl/>
              <w:rPr>
                <w:rFonts w:hint="eastAsia" w:ascii="宋体" w:hAnsi="宋体" w:cs="宋体"/>
                <w:color w:val="auto"/>
                <w:sz w:val="21"/>
                <w:szCs w:val="21"/>
                <w:highlight w:val="none"/>
                <w:lang w:val="en-US" w:eastAsia="zh-CN" w:bidi="ar"/>
                <w14:ligatures w14:val="standardContextual"/>
              </w:rPr>
            </w:pPr>
            <w:r>
              <w:rPr>
                <w:rFonts w:hint="eastAsia" w:ascii="宋体" w:hAnsi="宋体" w:cs="宋体"/>
                <w:color w:val="auto"/>
                <w:sz w:val="21"/>
                <w:szCs w:val="21"/>
                <w:highlight w:val="none"/>
                <w:lang w:val="en-US" w:eastAsia="zh-CN" w:bidi="ar"/>
                <w14:ligatures w14:val="standardContextual"/>
              </w:rPr>
              <w:t xml:space="preserve">一、</w:t>
            </w:r>
            <w:r>
              <w:rPr>
                <w:rFonts w:hint="eastAsia" w:ascii="宋体" w:hAnsi="宋体" w:eastAsia="宋体" w:cs="宋体"/>
                <w:color w:val="auto"/>
                <w:sz w:val="21"/>
                <w:szCs w:val="21"/>
                <w:highlight w:val="none"/>
                <w:lang w:bidi="ar"/>
                <w14:ligatures w14:val="standardContextual"/>
              </w:rPr>
              <w:t xml:space="preserve">功能描述</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1.本系统基于“AI+”技术及积极心理学理论设计，实现多角色语音聊天陪伴、层级对话预警，旨在以人机互动的高粘性交互方式，帮助用户更好地理解自己的情绪，探索内心困扰并提供解决策略。</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2.提供首次登录时引导介绍，由2D数字形象引导介绍智慧对话角、心语测量仪、悦心发现阁等至少3个功能模块</w:t>
            </w:r>
            <w:r>
              <w:rPr>
                <w:rFonts w:hint="eastAsia" w:ascii="宋体" w:hAnsi="宋体" w:eastAsia="宋体" w:cs="宋体"/>
                <w:color w:val="auto"/>
                <w:sz w:val="21"/>
                <w:szCs w:val="21"/>
                <w:highlight w:val="none"/>
                <w:lang w:eastAsia="zh-CN" w:bidi="ar"/>
                <w14:ligatures w14:val="standardContextual"/>
              </w:rPr>
              <w:t xml:space="preserve">；</w:t>
            </w:r>
            <w:r>
              <w:rPr>
                <w:rFonts w:hint="eastAsia" w:ascii="宋体" w:hAnsi="宋体" w:cs="宋体"/>
                <w:color w:val="auto"/>
                <w:sz w:val="21"/>
                <w:szCs w:val="21"/>
                <w:highlight w:val="none"/>
                <w:lang w:val="en-US" w:eastAsia="zh-CN" w:bidi="ar"/>
                <w14:ligatures w14:val="standardContextual"/>
              </w:rPr>
              <w:t xml:space="preserve">   </w:t>
            </w:r>
            <w:r/>
          </w:p>
          <w:p>
            <w:pPr>
              <w:numPr>
                <w:ilvl w:val="0"/>
                <w:numId w:val="0"/>
              </w:numPr>
              <w:jc w:val="left"/>
              <w:widowControl/>
              <w:rPr>
                <w:rFonts w:hint="eastAsia" w:ascii="宋体" w:hAnsi="宋体" w:eastAsia="宋体" w:cs="宋体"/>
                <w:color w:val="auto"/>
                <w:sz w:val="21"/>
                <w:szCs w:val="21"/>
                <w:highlight w:val="none"/>
                <w:lang w:bidi="ar"/>
                <w14:ligatures w14:val="standardContextual"/>
              </w:rPr>
            </w:pPr>
            <w:r>
              <w:rPr>
                <w:rFonts w:hint="eastAsia" w:ascii="宋体" w:hAnsi="宋体" w:eastAsia="宋体" w:cs="宋体"/>
                <w:color w:val="auto"/>
                <w:sz w:val="21"/>
                <w:szCs w:val="21"/>
                <w:highlight w:val="none"/>
                <w:lang w:bidi="ar"/>
                <w14:ligatures w14:val="standardContextual"/>
              </w:rPr>
              <w:t xml:space="preserve">3.支持在首页停留时，2D数字形象提供简短互动陪伴。</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4.提供如陪伴精灵、爸爸、妈妈、朋友等≥4种AI角色，不同角色以2D数字形象展示，包含如聆听、思考、对话等≥3种动作形象，支持与用户进行语音对话。如果长时间没有语音互动，2D数字形象会提示如“这里比较安静，能听见我的声音吗”，并在一段时间后自动退出语音对话；</w:t>
            </w:r>
            <w:r>
              <w:rPr>
                <w:rFonts w:hint="eastAsia" w:ascii="宋体" w:hAnsi="宋体" w:eastAsia="宋体" w:cs="宋体"/>
                <w:b/>
                <w:bCs/>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5.语音对话时提供不少于两条提示词，如“最近总是很焦虑，怎么办？”，支持对当前对话进行暂停、清空等操作。</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6.支持在进行语音对话前，提示采集面部照片进行情绪识别，对话结束后由AI生成情绪画像。</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▲7.内置如“焦虑自评量表”“抑郁自评量表”等≥14个评估量表，支持通过语音对话由AI推荐适合的量表，测评后生成测评记录。</w:t>
            </w:r>
            <w:r>
              <w:rPr>
                <w:rFonts w:hint="eastAsia" w:ascii="宋体" w:hAnsi="宋体" w:eastAsia="宋体" w:cs="宋体"/>
                <w:b/>
                <w:bCs/>
                <w:color w:val="auto"/>
                <w:sz w:val="21"/>
                <w:szCs w:val="21"/>
                <w:highlight w:val="none"/>
                <w:lang w:bidi="ar"/>
                <w14:ligatures w14:val="standardContextual"/>
              </w:rPr>
              <w:t xml:space="preserve">投标文件中提供可体现该条要求的功能截图。</w:t>
            </w:r>
            <w:r>
              <w:rPr>
                <w:rFonts w:hint="eastAsia" w:ascii="宋体" w:hAnsi="宋体" w:eastAsia="宋体" w:cs="宋体"/>
                <w:b/>
                <w:bCs/>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8.支持由AI根据用户当前情况推荐悦心内容，提供如课程推荐、文章精选、游戏天地、音乐中心等不少于4个主题模块。</w:t>
            </w:r>
            <w:r>
              <w:rPr>
                <w:rFonts w:hint="eastAsia" w:ascii="宋体" w:hAnsi="宋体" w:eastAsia="宋体" w:cs="宋体"/>
                <w:b/>
                <w:bCs/>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9.提供心理知识、生涯教育、减压训练等至少3个主题课程推荐，包含如“拒绝情绪化进食”“最近焦虑了、你别害怕！”“如何培养职业兴趣”等≥114节课程。</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10.提供心理科普、情绪管理、个人成长等至少3个主题文章精选，提供如“神经衰弱”“情绪是什么？”“如何面对成长中的痛苦”等≥57篇文章。</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11.提供如“图形拼贴”“财务专家”“理清线条”等≥12款游戏训练。</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12.提供如催眠音乐、放松音乐、精力恢复等至少3类主题音乐，提供≥76首音乐。</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13.支持用户查看对话记录，提供如对话总时长、总交流轮次、主要情绪类型、情绪波动指数、情绪分布等≥4种数据，生成如情绪高光时刻、个性化情绪洞察、情绪小贴士等文字内容。</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14.根据用户对话内容，生成AI对话预警，提供低、中、高三级风险等级，并用不同颜色提示。</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15.支持根据等级、状态、组织机构等进行查询AI对话预警人员，支持导出人员名单。</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16.支持查看用户预警详情，区分未读预警、已读预警便于管理者分类查看，支持选择多位预警用户标记为已读。</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17.支持根据用户的预警信息生成AI建议，</w:t>
            </w:r>
            <w:r>
              <w:rPr>
                <w:rFonts w:hint="eastAsia" w:ascii="宋体" w:hAnsi="宋体" w:eastAsia="宋体" w:cs="宋体"/>
                <w:color w:val="auto"/>
                <w:sz w:val="21"/>
                <w:szCs w:val="21"/>
                <w:highlight w:val="none"/>
                <w:lang w:eastAsia="zh-CN" w:bidi="ar"/>
                <w14:ligatures w14:val="standardContextual"/>
              </w:rPr>
              <w:t xml:space="preserve">包含</w:t>
            </w:r>
            <w:r>
              <w:rPr>
                <w:rFonts w:hint="eastAsia" w:ascii="宋体" w:hAnsi="宋体" w:eastAsia="宋体" w:cs="宋体"/>
                <w:color w:val="auto"/>
                <w:sz w:val="21"/>
                <w:szCs w:val="21"/>
                <w:highlight w:val="none"/>
                <w:lang w:bidi="ar"/>
                <w14:ligatures w14:val="standardContextual"/>
              </w:rPr>
              <w:t xml:space="preserve">问题情况总结、辅导建议、短期目标、长期目标等内容，支持查看对话记录。</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18.支持通过不同颜色区分三级预警及未见风险用户画像，提供用户登录系统、风险预警、心理评测、AI对话等相关数据及更新时间。</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19.提供用户综合情况统计，包含心理动态档案折线图、心理素质水平分析、系统使用人次统计柱状图、心理知识学习情况统计饼图等≥4类数据，支持生成动态男/女用户画像及核心描述词。</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20.提供用户管理功能，支持单个添加、批量导入、批量删除用户信息。支持对用户信息进行查看、删除。</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21.提供大数据可视化中心，包含系统使用人次统计、AI预警情况统计、常见心理问题分布、本月系统新增、总登录系统人次等至少8类数据，支持全屏显示。</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22.支持用户手机号注册、登录，支持选择是否开启面部情绪识别。</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23.提供AI对话预警消息提示，可设置提醒等级及频率，支持微信公众号绑定后设置通知提醒。</w:t>
            </w:r>
            <w:r/>
          </w:p>
          <w:p>
            <w:pPr>
              <w:jc w:val="left"/>
              <w:widowControl/>
              <w:rPr>
                <w:rFonts w:hint="eastAsia" w:ascii="宋体" w:hAnsi="宋体" w:eastAsia="宋体" w:cs="宋体"/>
                <w:color w:val="ee0000"/>
                <w:sz w:val="21"/>
                <w:szCs w:val="21"/>
                <w:highlight w:val="none"/>
              </w:rPr>
            </w:pPr>
            <w:r>
              <w:rPr>
                <w:rFonts w:hint="eastAsia" w:ascii="宋体" w:hAnsi="宋体" w:eastAsia="宋体" w:cs="宋体"/>
                <w:color w:val="auto"/>
                <w:sz w:val="21"/>
                <w:szCs w:val="21"/>
                <w:highlight w:val="none"/>
                <w:lang w:bidi="ar"/>
                <w14:ligatures w14:val="standardContextual"/>
              </w:rPr>
              <w:t xml:space="preserve">二、产品组成</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要求包含AI心理对话舱系统1套（</w:t>
            </w:r>
            <w:r>
              <w:rPr>
                <w:rFonts w:hint="eastAsia" w:ascii="宋体" w:hAnsi="宋体" w:cs="宋体"/>
                <w:color w:val="auto"/>
                <w:sz w:val="21"/>
                <w:szCs w:val="21"/>
                <w:highlight w:val="none"/>
                <w:lang w:val="en-US" w:eastAsia="zh-CN" w:bidi="ar"/>
                <w14:ligatures w14:val="standardContextual"/>
              </w:rPr>
              <w:t xml:space="preserve">预制</w:t>
            </w:r>
            <w:r>
              <w:rPr>
                <w:rFonts w:hint="eastAsia" w:ascii="宋体" w:hAnsi="宋体" w:eastAsia="宋体" w:cs="宋体"/>
                <w:color w:val="auto"/>
                <w:sz w:val="21"/>
                <w:szCs w:val="21"/>
                <w:highlight w:val="none"/>
                <w:lang w:bidi="ar"/>
                <w14:ligatures w14:val="standardContextual"/>
              </w:rPr>
              <w:t xml:space="preserve">安装）；对话舱1台；控制台1套；沙发1套；屏幕尺寸：27英寸。</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体感音乐心理放松椅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29"/>
              </w:num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产品尺寸：≥100cm*100cm*105cm。</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2.采用人体工学结构设计，柔软舒适，可控制椅子的升降角度。</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3.内置防磁高保真音箱，支持蓝牙、USB等多种音乐播放模式。</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4.内置高清播放器，支持mp3、mp4、jpg、doc、docx、pdf、mov、mpeg等常见格式文件。</w:t>
            </w:r>
            <w:r/>
          </w:p>
          <w:p>
            <w:pPr>
              <w:numPr>
                <w:ilvl w:val="0"/>
                <w:numId w:val="30"/>
              </w:num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背部臀部采用机械手设计，自动按摩功能。</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6.支持减压、放松、催眠等放松音乐。</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7.支持≥8G存储，支持SD、USB等常见存储设备。</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心理救援自助系统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一、支持模式自定义，提供心理测评、咨询师预约、调节视频、心理知识、能力测试等模块，后期可根据学校要求开发模块。</w:t>
            </w:r>
            <w:r/>
          </w:p>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心理测评：</w:t>
            </w:r>
            <w:r>
              <w:rPr>
                <w:rFonts w:hint="eastAsia" w:ascii="宋体" w:hAnsi="宋体" w:eastAsia="宋体" w:cs="宋体"/>
                <w:sz w:val="21"/>
                <w:szCs w:val="21"/>
                <w:highlight w:val="none"/>
                <w14:ligatures w14:val="standardContextual"/>
              </w:rPr>
              <w:t xml:space="preserve">通过科学评估用户心理状态，智能匹配指导式方案，并提供结构化训练，为心理危机事件亲历者实施及时心理援助，促进其情绪平复，激发内在韧性，加速心理重建与社会功能恢复；</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咨询师预约：展示学校咨询师介绍。根据需要编辑咨询人员、时间、时间段和咨询内容。</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视频：</w:t>
            </w:r>
            <w:r>
              <w:rPr>
                <w:rFonts w:hint="eastAsia" w:ascii="宋体" w:hAnsi="宋体" w:eastAsia="宋体" w:cs="宋体"/>
                <w:sz w:val="21"/>
                <w:szCs w:val="21"/>
                <w:highlight w:val="none"/>
                <w14:ligatures w14:val="standardContextual"/>
              </w:rPr>
              <w:t xml:space="preserve">提供呼吸放松、想象放松、渐进肌肉放松等≥4种调节方法，通过音视频的形式展现，提供如“夏雨”“河流”等不少于5个主题背景白噪音，支持调节背景音量、讲师音量；</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rPr>
              <w:t xml:space="preserve">心理知识：内置心理健康类、常见心理问题和常见的心理问题等，并支持在线更新。</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5.</w:t>
            </w:r>
            <w:r>
              <w:rPr>
                <w:rFonts w:hint="eastAsia" w:ascii="宋体" w:hAnsi="宋体" w:eastAsia="宋体" w:cs="宋体"/>
                <w:sz w:val="21"/>
                <w:szCs w:val="21"/>
                <w:highlight w:val="none"/>
              </w:rPr>
              <w:t xml:space="preserve">能力测试：支持颜色、连线、色盲测试等训练游戏，并可根据需要添加教学游戏。</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rPr>
              <w:t xml:space="preserve">、硬件部分：                                                                                                                                                                                     1、显示器：显示尺寸：≥32寸；分辨率：≥1920*1080</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触控：采用电容触摸方案。</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千兆网络交换机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1.机身固化10/100/1000M以太网电接口≥26个，固化SFP千兆光接口≥2个，固化SFP+万兆光接口≥2个，交流电源≥1个；</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2.支持Console口（RJ45）、带外管理口（RJ45）、USB接口、Reset键；</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3.交换容量≥5.98Tbps，包转发率≥252Mpps；设备1U高，深度≤242mm；满负荷情况下功耗≤26W；支持静态路由、RIPV1/2、RIPng、OSPF、OSPFv3、IS-IS、IS-ISv6、BGP、BGP4+、ECMP、路由策略；</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功能：（1）端口支持8KV防雷；（2）支持OpenFlow1.3功能；（3）支持能效以太网（802.3azEEE）、sFlow和以太网OAM；（4）端口LED灯自动节能功能；（5）设备断电告警；CPU镜像；ARP自动防御；安全防护特性（防DOS攻击，CPU安全防护）；支持动态ARP检测。</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天花吸顶空调</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1.5匹冷暖天花机、一级能效；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2.电压/频率：380V/50Hz；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3.制冷量：≥12000W；制热量：≥13600W；</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cs="宋体"/>
                <w:b/>
                <w:bCs/>
                <w:sz w:val="21"/>
                <w:szCs w:val="21"/>
                <w:highlight w:val="none"/>
                <w:lang w:val="en-US" w:eastAsia="zh-CN"/>
              </w:rPr>
              <w:t xml:space="preserve">A020523 制冷空调设备</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综合布线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（1）依据国际布线标准ISO/IEC11801:1995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E）和ANSI/TIA/EIA568A；</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（2）参照《中国建筑电气设计规范》《建筑与建筑群综合布线系统工程设计规范》；《建筑与建筑群综合布线系统工程施工及验收规范》（中国工程建设标准化协会标准）；《结构化布线系统设计总则》等；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2.总体要求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（1）一般采用暗线，在地面或墙面开挖线槽，主区线缆走地面线槽通过支管到各终端；通过桌脚钢管通往桌面，避免线头外露，确保安全美观；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（2）特别情况走明线的，须用合金或不锈钢线管包覆；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（3）插线盒一般部署在桌面或桌脚处、嵌入式；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（4）从数据中心至项目实施地点12芯室外铠装光缆约500米，提供光纤容积、光模块。</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75</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基础装修改造</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一、整体要求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1.对本实训室内部按施工要求进行基础装修改造，旨在营造优良和谐、美观大方的空间环境；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2.执行国家及行业相关标准，确保为信息化设备及专业设备安装部署提供基础环境；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3.主要包含：现场拆除与垃圾清运、地面装饰处理、墙面装饰处理、天花装饰处理、灯光照明、窗帘定制与安装等；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二、现场环境改造及修整、垃圾清运、卫生清理等：1项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1.对场地原结构和原装饰部分，根据设计规划图纸或本项目实际要求进行改造、修补、平整；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2.对所产生的建筑和装饰垃圾集中搬运、集中堆放、集中处理；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3.对空间集中进行一次全面的打扫、擦拭等卫生处理；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4.本项目包含所有建渣清运、垃圾处理、搬运费、车辆运输费、环境清洁费、其他人工费等。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三、地面装饰处理：75㎡</w:t>
            </w:r>
            <w:r>
              <w:rPr>
                <w:rFonts w:hint="eastAsia" w:ascii="宋体" w:hAnsi="宋体" w:eastAsia="宋体" w:cs="宋体"/>
                <w:color w:val="000000"/>
                <w:sz w:val="21"/>
                <w:szCs w:val="21"/>
                <w:highlight w:val="none"/>
              </w:rPr>
              <w:br/>
            </w:r>
            <w:bookmarkStart w:id="130" w:name="OLE_LINK13"/>
            <w:r>
              <w:rPr>
                <w:rFonts w:hint="eastAsia" w:ascii="宋体" w:hAnsi="宋体" w:eastAsia="宋体" w:cs="宋体"/>
                <w:color w:val="000000"/>
                <w:sz w:val="21"/>
                <w:szCs w:val="21"/>
                <w:highlight w:val="none"/>
              </w:rPr>
              <w:t xml:space="preserve">采用3.0mm厚商用PVC塑胶卷材地板，产品须符合GB/T 11982.1-2022、GB 18586-2021及GB 8624-2012标准。</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地板总厚度≥3.0mm，耐磨层厚度≥0.7mm，耐磨等级T级，耐磨转数≥10000转，防火等级B1级，残余凹陷≤0.10mm，尺寸稳定性≤0.2%。</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产品环保性能须满足甲醛未检出，重金属及增塑剂符合国标限量要求。</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施工前基层须做界面剂处理及C20自流平水泥找平，采用环保水性专用胶水铺设，板缝热熔焊接，整体无缝、平整、防滑、耐磨、易清洁。</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b/>
                <w:bCs/>
                <w:color w:val="000000"/>
                <w:sz w:val="21"/>
                <w:szCs w:val="21"/>
                <w:highlight w:val="none"/>
              </w:rPr>
              <w:t xml:space="preserve">开工前须提供有效期内的产品检测报告、防火检测报告、环保检测报告等证明文件。</w:t>
            </w:r>
            <w:r>
              <w:rPr>
                <w:rFonts w:hint="eastAsia" w:ascii="宋体" w:hAnsi="宋体" w:eastAsia="宋体" w:cs="宋体"/>
                <w:color w:val="000000"/>
                <w:sz w:val="21"/>
                <w:szCs w:val="21"/>
                <w:highlight w:val="none"/>
              </w:rPr>
              <w:t xml:space="preserve">结合强弱电综合布线、给排水等预制工序综合施工；</w:t>
            </w:r>
            <w:bookmarkEnd w:id="130"/>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四、墙面装饰处理：1项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1.材质：优质环保腻子粉、乳胶漆、阴阳角条；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进场前提供腻子粉、乳胶漆环保认证证书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2.做法：根据项目情况，综合采用原墙面批灰、腻子填充、平整、粉刷、二次粉刷；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3.结合强弱电综合布线、给排水等预制工序综合施工；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4.颜色：主体白色，根据情况色彩搭配；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五、天花装饰处理：75㎡</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1.材质：平顶+乳胶漆粉刷；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2.做法：综合采用悬挂吊杆、主龙骨、顶棚骨架、结构连接、封板等工艺做法；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3.结合强弱电布线、吸顶空调、灯光照明、监控等相关工序综合施工；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六、灯光照明：75㎡</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1.采用 LED 灯光，线材采用国标 4.0mm、2.5mm 铜线；根据施工图或参考效果图，遵循国家和行业相关标准，综合设计安装灯光照明设备；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2.功能性原则：不同空间、不同场合、不同应用对象选择不同的照明方式和灯具，并均匀布光，平均照度要求≥500Lux；</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美观性原则：采用必要的装饰照明，使用装饰灯具，采用透射、反射、折射等多种手段，并合理统筹灯光照明的造型、材料、色彩、比例、尺度，灯具等；对室内空间进行美化装饰，增加空间层次，渲染环境气氛；</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4.经济性原则：采用性价比较高的灯光照明设计方案，不仅节约灯光照明设备的购置成本，也为以后的电源消耗提供集约化保证；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5.安全性原则：照明设计安全可靠；采取严格的防触电、防短路等安全措施，以避免意外事故的发生。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七、窗帘定制与安装：1项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1.材质：采用布艺材质、含窗帘杆、轨道、挂钩等配套。美观实用；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2.规格参考：与窗户实际规格数据吻合，允许适当误差；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3.对本空间的窗帘进行现场量尺寸、定制与安装；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4.整体颜色：与实训室环境协调；</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75</w:t>
            </w:r>
            <w:r/>
          </w:p>
        </w:tc>
      </w:tr>
      <w:tr>
        <w:trPr>
          <w:trHeight w:val="400"/>
        </w:trPr>
        <w:tc>
          <w:tcPr>
            <w:gridSpan w:val="5"/>
            <w:tcBorders>
              <w:top w:val="single" w:color="000000" w:sz="4" w:space="0"/>
              <w:left w:val="single" w:color="000000" w:sz="4" w:space="0"/>
              <w:bottom w:val="single" w:color="000000" w:sz="4" w:space="0"/>
              <w:right w:val="none" w:color="000000" w:sz="4" w:space="0"/>
            </w:tcBorders>
            <w:tcW w:w="9869" w:type="dxa"/>
            <w:vAlign w:val="center"/>
            <w:textDirection w:val="lrTb"/>
            <w:noWrap w:val="false"/>
          </w:tcPr>
          <w:p>
            <w:pPr>
              <w:jc w:val="left"/>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color w:val="000000"/>
                <w:sz w:val="21"/>
                <w:szCs w:val="21"/>
                <w:highlight w:val="none"/>
                <w14:ligatures w14:val="standardContextual"/>
              </w:rPr>
              <w:t xml:space="preserve">五、婴幼儿托育与母婴照护实训中心</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幼儿模型</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1.全搪胶仿真幼儿模型，软性环保；搪胶可沐浴；</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2.身长</w:t>
            </w:r>
            <w:r>
              <w:rPr>
                <w:rFonts w:hint="eastAsia" w:ascii="宋体" w:hAnsi="宋体" w:eastAsia="宋体" w:cs="宋体"/>
                <w:sz w:val="21"/>
                <w:szCs w:val="21"/>
                <w:highlight w:val="none"/>
                <w14:ligatures w14:val="standardContextual"/>
              </w:rPr>
              <w:t xml:space="preserve">47</w:t>
            </w:r>
            <w:r>
              <w:rPr>
                <w:rFonts w:hint="eastAsia" w:ascii="宋体" w:hAnsi="宋体" w:eastAsia="宋体" w:cs="宋体"/>
                <w:sz w:val="21"/>
                <w:szCs w:val="21"/>
                <w:highlight w:val="none"/>
                <w:lang w:eastAsia="zh-CN"/>
                <w14:ligatures w14:val="standardContextual"/>
              </w:rPr>
              <w:t xml:space="preserve">—</w:t>
            </w:r>
            <w:r>
              <w:rPr>
                <w:rFonts w:hint="eastAsia" w:ascii="宋体" w:hAnsi="宋体" w:eastAsia="宋体" w:cs="宋体"/>
                <w:sz w:val="21"/>
                <w:szCs w:val="21"/>
                <w:highlight w:val="none"/>
                <w14:ligatures w14:val="standardContextual"/>
              </w:rPr>
              <w:t xml:space="preserve">52cm</w:t>
            </w:r>
            <w:r>
              <w:rPr>
                <w:rFonts w:hint="eastAsia" w:ascii="宋体" w:hAnsi="宋体" w:eastAsia="宋体" w:cs="宋体"/>
                <w:sz w:val="21"/>
                <w:szCs w:val="21"/>
                <w:highlight w:val="none"/>
              </w:rPr>
              <w:t xml:space="preserve">左右；</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婴儿模型</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1.全搪胶仿真婴儿模型，软性环保；搪胶可沐浴；</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2.身长</w:t>
            </w:r>
            <w:r>
              <w:rPr>
                <w:rFonts w:hint="eastAsia" w:ascii="宋体" w:hAnsi="宋体" w:eastAsia="宋体" w:cs="宋体"/>
                <w:sz w:val="21"/>
                <w:szCs w:val="21"/>
                <w:highlight w:val="none"/>
                <w14:ligatures w14:val="standardContextual"/>
              </w:rPr>
              <w:t xml:space="preserve">47</w:t>
            </w:r>
            <w:r>
              <w:rPr>
                <w:rFonts w:hint="eastAsia" w:ascii="宋体" w:hAnsi="宋体" w:eastAsia="宋体" w:cs="宋体"/>
                <w:sz w:val="21"/>
                <w:szCs w:val="21"/>
                <w:highlight w:val="none"/>
                <w:lang w:eastAsia="zh-CN"/>
                <w14:ligatures w14:val="standardContextual"/>
              </w:rPr>
              <w:t xml:space="preserve">—</w:t>
            </w:r>
            <w:r>
              <w:rPr>
                <w:rFonts w:hint="eastAsia" w:ascii="宋体" w:hAnsi="宋体" w:eastAsia="宋体" w:cs="宋体"/>
                <w:sz w:val="21"/>
                <w:szCs w:val="21"/>
                <w:highlight w:val="none"/>
                <w14:ligatures w14:val="standardContextual"/>
              </w:rPr>
              <w:t xml:space="preserve">52cm</w:t>
            </w:r>
            <w:r>
              <w:rPr>
                <w:rFonts w:hint="eastAsia" w:ascii="宋体" w:hAnsi="宋体" w:eastAsia="宋体" w:cs="宋体"/>
                <w:sz w:val="21"/>
                <w:szCs w:val="21"/>
                <w:highlight w:val="none"/>
              </w:rPr>
              <w:t xml:space="preserve">左右；</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3.系带单衣单裤婴儿模型，衣物可穿脱；</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人工智能仿真娃娃（男）</w:t>
            </w:r>
            <w:r/>
          </w:p>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tc>
        <w:tc>
          <w:tcPr>
            <w:shd w:val="clear" w:color="auto" w:fill="ffffff"/>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31"/>
              </w:num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基本参数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1.规格：身长50cm±5cm，重量2500</w:t>
            </w:r>
            <w:r>
              <w:rPr>
                <w:rFonts w:hint="eastAsia" w:ascii="宋体" w:hAnsi="宋体" w:eastAsia="宋体" w:cs="宋体"/>
                <w:color w:val="auto"/>
                <w:sz w:val="21"/>
                <w:szCs w:val="21"/>
                <w:highlight w:val="none"/>
                <w:lang w:eastAsia="zh-CN"/>
                <w14:ligatures w14:val="standardContextual"/>
              </w:rPr>
              <w:t xml:space="preserve">—</w:t>
            </w:r>
            <w:r>
              <w:rPr>
                <w:rFonts w:hint="eastAsia" w:ascii="宋体" w:hAnsi="宋体" w:eastAsia="宋体" w:cs="宋体"/>
                <w:color w:val="auto"/>
                <w:sz w:val="21"/>
                <w:szCs w:val="21"/>
                <w:highlight w:val="none"/>
                <w14:ligatures w14:val="standardContextual"/>
              </w:rPr>
              <w:t xml:space="preserve">4000g；</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2.★材质：硅胶，无毒，无辐射；</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提供CMA或CNAS标识的有害物质达标的检测报告</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3.模拟婴儿状态，四肢自然弯曲，各主要关节灵活转动；</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二、功能描述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1.人工智能仿真婴儿内置传感器与各配件中智能芯片进行匹配，匹配成功有声音提示；</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2.内置充电锂电池，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14:ligatures w14:val="standardContextual"/>
              </w:rPr>
              <w:t xml:space="preserve">6000mAh，充满后能运行</w:t>
            </w:r>
            <w:r>
              <w:rPr>
                <w:rFonts w:hint="eastAsia" w:ascii="宋体" w:hAnsi="宋体" w:eastAsia="宋体" w:cs="宋体"/>
                <w:color w:val="auto"/>
                <w:sz w:val="21"/>
                <w:szCs w:val="21"/>
                <w:highlight w:val="none"/>
                <w:lang w:eastAsia="zh-CN"/>
                <w14:ligatures w14:val="standardContextual"/>
              </w:rPr>
              <w:t xml:space="preserve">4～5天</w:t>
            </w:r>
            <w:r>
              <w:rPr>
                <w:rFonts w:hint="eastAsia" w:ascii="宋体" w:hAnsi="宋体" w:eastAsia="宋体" w:cs="宋体"/>
                <w:color w:val="auto"/>
                <w:sz w:val="21"/>
                <w:szCs w:val="21"/>
                <w:highlight w:val="none"/>
                <w14:ligatures w14:val="standardContextual"/>
              </w:rPr>
              <w:t xml:space="preserve">；</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3.人工智能仿真婴儿可与学生匹配创建领养实训任务</w:t>
            </w:r>
            <w:r>
              <w:rPr>
                <w:rFonts w:hint="eastAsia" w:ascii="宋体" w:hAnsi="宋体" w:eastAsia="宋体" w:cs="宋体"/>
                <w:color w:val="auto"/>
                <w:sz w:val="21"/>
                <w:szCs w:val="21"/>
                <w:highlight w:val="none"/>
                <w:lang w:eastAsia="zh-CN"/>
                <w14:ligatures w14:val="standardContextual"/>
              </w:rPr>
              <w:t xml:space="preserve">。</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4.人工智能仿真婴儿至少要实现以下四种功能（</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提供功能截图，格式自拟</w:t>
            </w:r>
            <w:r>
              <w:rPr>
                <w:rFonts w:hint="eastAsia" w:ascii="宋体" w:hAnsi="宋体" w:eastAsia="宋体" w:cs="宋体"/>
                <w:color w:val="auto"/>
                <w:sz w:val="21"/>
                <w:szCs w:val="21"/>
                <w:highlight w:val="none"/>
              </w:rPr>
              <w:t xml:space="preserve">）。</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14:ligatures w14:val="standardContextual"/>
              </w:rPr>
              <w:t xml:space="preserve">（1）喂奶：仿真婴儿发生喂奶需求哭泣时，奶瓶或母乳喂养胸针接触婴儿嘴唇，哭泣声会停止并发出吮吸声音；</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（2）拍嗝：仿真婴儿发生拍嗝需求而哭泣时，轻轻拍打背部会停止哭泣，发出打嗝声；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（3）换尿布：当人工智能仿真婴儿因发生换尿布需求而哭泣时，当替换新尿布后会停止哭泣，发出愉悦的声音；</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（4）轻摇安抚：当人工智能仿真婴儿因发生轻摇安抚需求而哭泣时，抱起婴儿并持续轻摇安抚，哭泣声音会自动停止，发出愉悦声音；</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（5）头部支撑失败：婴儿在头部未得到支撑情况下会发出剧烈哭声；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（6）猛烈摇晃：婴儿在受到猛烈摇晃情况下会发出剧烈哭声；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（7）受到虐待：婴儿在受到猛烈拍打情况下会发出剧烈哭声；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（8）错误睡姿：婴儿具有错误睡姿数据记录和数据上传功能；</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（9）温度感知：婴儿具有对不同时间段周围温度感知数据记录和数据上传功能；</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ff0000"/>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人工智能仿真娃娃（女）</w:t>
            </w:r>
            <w:r/>
          </w:p>
        </w:tc>
        <w:tc>
          <w:tcPr>
            <w:shd w:val="clear" w:color="auto" w:fill="ffffff"/>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31"/>
              </w:num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基本参数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1.规格：身长50cm±5cm，重量2500</w:t>
            </w:r>
            <w:r>
              <w:rPr>
                <w:rFonts w:hint="eastAsia" w:ascii="宋体" w:hAnsi="宋体" w:eastAsia="宋体" w:cs="宋体"/>
                <w:color w:val="auto"/>
                <w:sz w:val="21"/>
                <w:szCs w:val="21"/>
                <w:highlight w:val="none"/>
                <w:lang w:eastAsia="zh-CN"/>
                <w14:ligatures w14:val="standardContextual"/>
              </w:rPr>
              <w:t xml:space="preserve">—</w:t>
            </w:r>
            <w:r>
              <w:rPr>
                <w:rFonts w:hint="eastAsia" w:ascii="宋体" w:hAnsi="宋体" w:eastAsia="宋体" w:cs="宋体"/>
                <w:color w:val="auto"/>
                <w:sz w:val="21"/>
                <w:szCs w:val="21"/>
                <w:highlight w:val="none"/>
                <w14:ligatures w14:val="standardContextual"/>
              </w:rPr>
              <w:t xml:space="preserve">4000g；</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2.★材质：硅胶，无毒，无辐射；</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提供CMA或CNAS标识的有害物质达标的检测报告</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3.模拟婴儿状态，四肢自然弯曲，各主要关节灵活转动；</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二、功能描述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1.人工智能仿真婴儿内置传感器与各配件中智能芯片进行匹配，匹配成功有声音提示；</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2.内置充电锂电池，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14:ligatures w14:val="standardContextual"/>
              </w:rPr>
              <w:t xml:space="preserve">6000mAh，充满后能运行</w:t>
            </w:r>
            <w:r>
              <w:rPr>
                <w:rFonts w:hint="eastAsia" w:ascii="宋体" w:hAnsi="宋体" w:eastAsia="宋体" w:cs="宋体"/>
                <w:color w:val="auto"/>
                <w:sz w:val="21"/>
                <w:szCs w:val="21"/>
                <w:highlight w:val="none"/>
                <w:lang w:eastAsia="zh-CN"/>
                <w14:ligatures w14:val="standardContextual"/>
              </w:rPr>
              <w:t xml:space="preserve">4～5天</w:t>
            </w:r>
            <w:r>
              <w:rPr>
                <w:rFonts w:hint="eastAsia" w:ascii="宋体" w:hAnsi="宋体" w:eastAsia="宋体" w:cs="宋体"/>
                <w:color w:val="auto"/>
                <w:sz w:val="21"/>
                <w:szCs w:val="21"/>
                <w:highlight w:val="none"/>
                <w14:ligatures w14:val="standardContextual"/>
              </w:rPr>
              <w:t xml:space="preserve">；</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3.人工智能仿真婴儿可与学生匹配创建领养实训任务</w:t>
            </w:r>
            <w:r>
              <w:rPr>
                <w:rFonts w:hint="eastAsia" w:ascii="宋体" w:hAnsi="宋体" w:eastAsia="宋体" w:cs="宋体"/>
                <w:color w:val="auto"/>
                <w:sz w:val="21"/>
                <w:szCs w:val="21"/>
                <w:highlight w:val="none"/>
                <w:lang w:eastAsia="zh-CN"/>
                <w14:ligatures w14:val="standardContextual"/>
              </w:rPr>
              <w:t xml:space="preserve">。</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4.人工智能仿真婴儿至少要实现以下四种功能（</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提供功能截图，格式自拟</w:t>
            </w:r>
            <w:r>
              <w:rPr>
                <w:rFonts w:hint="eastAsia" w:ascii="宋体" w:hAnsi="宋体" w:eastAsia="宋体" w:cs="宋体"/>
                <w:color w:val="auto"/>
                <w:sz w:val="21"/>
                <w:szCs w:val="21"/>
                <w:highlight w:val="none"/>
              </w:rPr>
              <w:t xml:space="preserve">）。</w:t>
            </w:r>
            <w:r/>
          </w:p>
          <w:p>
            <w:pPr>
              <w:jc w:val="left"/>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（1）喂奶：仿真婴儿发生喂奶需求哭泣时，奶瓶或母乳喂养胸针接触婴儿嘴唇，哭泣声会停止并发出吮吸声音；</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（2）拍嗝：仿真婴儿发生拍嗝需求而哭泣时，轻轻拍打背部会停止哭泣，发出打嗝声；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（3）换尿布：当人工智能仿真婴儿因发生换尿布需求而哭泣时，当替换新尿布后会停止哭泣，发出愉悦的声音；</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（4）轻摇安抚：当人工智能仿真婴儿因发生轻摇安抚需求而哭泣时，抱起婴儿并持续轻摇安抚，哭泣声音会自动停止，发出愉悦声音；</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（5）头部支撑失败：婴儿在头部未得到支撑情况下会发出剧烈哭声；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（6）猛烈摇晃：婴儿在受到猛烈摇晃情况下会发出剧烈哭声；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（7）受到虐待：婴儿在受到猛烈拍打情况下会发出剧烈哭声；</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（8）错误睡姿：婴儿具有错误睡姿数据记录和数据上传功能；</w:t>
            </w:r>
            <w:r>
              <w:rPr>
                <w:rFonts w:hint="eastAsia" w:ascii="宋体" w:hAnsi="宋体" w:eastAsia="宋体" w:cs="宋体"/>
                <w:color w:val="auto"/>
                <w:sz w:val="21"/>
                <w:szCs w:val="21"/>
                <w:highlight w:val="none"/>
                <w14:ligatures w14:val="standardContextual"/>
              </w:rPr>
              <w:br/>
            </w:r>
            <w:r>
              <w:rPr>
                <w:rFonts w:hint="eastAsia" w:ascii="宋体" w:hAnsi="宋体" w:eastAsia="宋体" w:cs="宋体"/>
                <w:color w:val="auto"/>
                <w:sz w:val="21"/>
                <w:szCs w:val="21"/>
                <w:highlight w:val="none"/>
                <w14:ligatures w14:val="standardContextual"/>
              </w:rPr>
              <w:t xml:space="preserve">（9）温度感知：婴儿具有对不同时间段周围温度感知数据记录和数据上传功能；</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智能仿真娃娃实践教学系统</w:t>
            </w:r>
            <w:r/>
          </w:p>
        </w:tc>
        <w:tc>
          <w:tcPr>
            <w:shd w:val="clear" w:color="auto" w:fill="ffffff"/>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0"/>
              </w:num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软件模块可同时控制≥40个婴儿模拟人；</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2.具有测试婴儿状态功能。</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3内置≥10个困难程度，并对照护的难易程度有分类</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4.可自定义婴儿模拟人情绪状态，如喂奶、换尿布，学生可依此</w:t>
            </w:r>
            <w:r>
              <w:rPr>
                <w:rFonts w:hint="eastAsia" w:ascii="宋体" w:hAnsi="宋体" w:eastAsia="宋体" w:cs="宋体"/>
                <w:sz w:val="21"/>
                <w:szCs w:val="21"/>
                <w:highlight w:val="none"/>
                <w:lang w:eastAsia="zh-CN"/>
              </w:rPr>
              <w:t xml:space="preserve">做出</w:t>
            </w:r>
            <w:r>
              <w:rPr>
                <w:rFonts w:hint="eastAsia" w:ascii="宋体" w:hAnsi="宋体" w:eastAsia="宋体" w:cs="宋体"/>
                <w:sz w:val="21"/>
                <w:szCs w:val="21"/>
                <w:highlight w:val="none"/>
              </w:rPr>
              <w:t xml:space="preserve">合适的照护行为。</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5.支持自定义设置照护程序和不同的难度。</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6.支持自动生成评估报告。</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7支持班级设置管理。</w:t>
            </w:r>
            <w:r/>
          </w:p>
          <w:p>
            <w:pPr>
              <w:jc w:val="left"/>
              <w:widowControl/>
              <w:rPr>
                <w:rFonts w:hint="eastAsia" w:ascii="宋体" w:hAnsi="宋体" w:eastAsia="宋体" w:cs="宋体"/>
                <w:color w:val="ff0000"/>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w:t>
            </w:r>
            <w:r>
              <w:rPr>
                <w:rFonts w:hint="eastAsia" w:ascii="宋体" w:hAnsi="宋体" w:eastAsia="宋体" w:cs="宋体"/>
                <w:b/>
                <w:bCs/>
                <w:color w:val="000000"/>
                <w:sz w:val="21"/>
                <w:szCs w:val="21"/>
                <w:highlight w:val="none"/>
              </w:rPr>
              <w:t xml:space="preserve">▲提供以上功能承诺函，格式自拟</w:t>
            </w:r>
            <w:r>
              <w:rPr>
                <w:rFonts w:hint="eastAsia" w:ascii="宋体" w:hAnsi="宋体" w:eastAsia="宋体" w:cs="宋体"/>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婴幼儿床</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32"/>
              </w:num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用于模拟婴幼儿一日生活环节及有关教学实训教学；</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2.材质：木质+环保清漆，实木单人床；</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3.参考尺寸：≥135x60x55cm</w:t>
            </w:r>
            <w:r>
              <w:rPr>
                <w:rFonts w:hint="eastAsia" w:ascii="宋体" w:hAnsi="宋体" w:cs="宋体"/>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婴幼儿床上用品</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1.被子：115cm*145cm，被芯为2斤棉絮，与床配套；</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2.褥子（垫絮）：128cm*57cm，可拆洗，与床配套；</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3.枕头：30cm*45cm，配对应枕套，与床配套；</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多功能抚触操作台（含澡盆）</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1.用于练习婴儿日常护理技能、婴儿抚触及被动操等。</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2.参考尺寸：100～120cm×80cm×85cm，柜脚高约8cm；</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3.材质：台面：皮革包3厘米厚海绵，带软包；柜体：实木颗粒板、优质环保；</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4.款式：上面为抚触台，下面带门储物柜、两层，底层全空，可放婴儿澡盆；</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5.含婴儿澡盆：参考尺寸：长×宽×高=95cm×55cm×25cm；</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材质，PP塑料。</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婴幼儿一体洗浴池</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1.材质：PP环保塑料或亚克力板材；</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2.参考尺寸：≥95cm*55cm*80cm；</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3.含淋浴架、带排水口；</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4.颜色：随机，与场景协调；</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5.安全性：水电分离、支持保温；</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6.功能：冲浪、泡泡、有氛围彩灯。</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婴幼儿饮食护理用品</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1.婴儿饮食套组</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（1）奶粉：1 段 、2 段 、3 段，150g，各1罐；</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（2）奶瓶：≥160ml 、≥240ml 、≥330ml，各1个；</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（3）温奶器：双瓶式温奶器，消毒、恒温、烘干、调奶；</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（4）奶瓶刷、奶瓶夹、奶瓶消毒锅；</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（5）热水壶：≥1.2L，玻璃内胆；</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（6）凉水壶：PP食品级，≥2L、加厚耐摔，带刻度；</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（7）婴儿专用勺（软头勺、感温勺）、婴儿专用筷、围嘴、罩衣、口水巾；</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2.婴幼儿餐椅</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（1）餐盘离地面高度≥68cm，符合人体工学要求；</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（2）桌面尺寸长×宽≥48cm×25cm；</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3.辅食料理机</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4.辅食制作套装</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材质：聚丙烯、木质、不锈钢网；</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内附：研磨盘、过滤网、储物盖、研磨器、榨汁器、研磨钵、勺子、研磨棒；</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5.喂药器套装</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材质：硅胶；内附：针筒喂药器、奶瓶喂药器、量杯、计量喂药器、锥形喂药器。</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一体化配餐盥洗操作台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1.现场定制、用于配餐实训和盥洗操作；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2.尺寸参考：W≥55cm×H≥80cm；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3.材质：生态板主体，环保、防水防潮；大理石台面；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4.嵌入盥洗池2个，带水龙头；默认模拟，不通上下水；台面下方有储物空间</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米</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婴幼儿饮食制作用品</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1.水杯：材质：304不锈钢（样式： 无盖、有手柄）；参考规格：口径7cm，杯高7cm，容量250ml；40个；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2.餐具：碗（不锈钢）、勺（不锈钢）、筷子10套；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3.不锈钢保温桶（有龙头）：材质：不锈钢；容量参考：18L；1个；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4.盛饭菜长勺：材质：不锈钢；规格参考：27.5cm、24cm；1套；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5.三层送餐车1个：材质：无磁不锈钢；参考规格：700*400*840mm，层高225mm</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带妆头模（带支架）</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1.真人发丝， 自然直黑发；</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2.发长14寸左右，带落地支架。</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婴儿推车</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1.参考尺寸：76cm*40cm*25cm（±3cm）；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2.材质：加厚高碳钢；万向滑轮；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3.内置减震，独立刹车，可坐可躺。</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辆</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高级幼儿气道阻塞及心肺复苏模型</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模拟人根据小儿解剖特征和生理特点设计，适用于气管异物的急救；气管异物常见于婴幼儿，因婴幼儿会厌软骨发育不成熟，功能不健全，在口中含物说话、哭笑和剧烈活动时，容易将口中含物吸入气管内，引起气管阻塞而导致窒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2.可进行小儿海氏急救法操作；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背部排击法：将小儿骑跨并俯卧于胳臂上，头低于躯干，固定头部，并将其胳膊放在急救者的大腿上，然后用另一手的掌根部用力拍击患儿两肩胛骨之间的背部4—6次，使呼吸道内压骤然升高，有助于松动异物和将其排出体外；</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（2）胸部手指猛击法：小儿取仰卧位，抱持于急救者手臂弯中，头略低于躯干，急救者用两手指按压两乳头连线与</w:t>
            </w:r>
            <w:r>
              <w:rPr>
                <w:rFonts w:hint="eastAsia" w:ascii="宋体" w:hAnsi="宋体" w:eastAsia="宋体" w:cs="宋体"/>
                <w:color w:val="000000"/>
                <w:sz w:val="21"/>
                <w:szCs w:val="21"/>
                <w:highlight w:val="none"/>
                <w:lang w:eastAsia="zh-CN"/>
              </w:rPr>
              <w:t xml:space="preserve">前正中线</w:t>
            </w:r>
            <w:r>
              <w:rPr>
                <w:rFonts w:hint="eastAsia" w:ascii="宋体" w:hAnsi="宋体" w:eastAsia="宋体" w:cs="宋体"/>
                <w:color w:val="000000"/>
                <w:sz w:val="21"/>
                <w:szCs w:val="21"/>
                <w:highlight w:val="none"/>
              </w:rPr>
              <w:t xml:space="preserve">交界点一横指处4-6处。必要时可与以上方法交替使用。直到异物排出；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3.正常的气道阻塞模拟：进行人工呼吸时，若模拟患儿的胸部能起伏，说明没有异物，采取胸外拇指按压复苏处理。若模拟患儿的胸部不能</w:t>
            </w:r>
            <w:r>
              <w:rPr>
                <w:rFonts w:hint="eastAsia" w:ascii="宋体" w:hAnsi="宋体" w:cs="宋体"/>
                <w:color w:val="000000"/>
                <w:sz w:val="21"/>
                <w:szCs w:val="21"/>
                <w:highlight w:val="none"/>
                <w:lang w:val="en-US" w:eastAsia="zh-CN"/>
              </w:rPr>
              <w:t xml:space="preserve">起伏</w:t>
            </w:r>
            <w:r>
              <w:rPr>
                <w:rFonts w:hint="eastAsia" w:ascii="宋体" w:hAnsi="宋体" w:eastAsia="宋体" w:cs="宋体"/>
                <w:color w:val="000000"/>
                <w:sz w:val="21"/>
                <w:szCs w:val="21"/>
                <w:highlight w:val="none"/>
              </w:rPr>
              <w:t xml:space="preserve">，判定为模拟患儿为气道异物梗塞 ，采取小儿海氏急救法操作；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4.可进行标准的CPR操作：人工呼吸和心外按压；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5.气道贯通时的胸部扩张；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6.窒息、异物阻塞气道的模拟：可将梗死异物（黑色海绵块）放入口腔咽喉处，模拟婴儿气道梗死现场；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7.标准婴儿真人比例设计及准确的标准布局；</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8.精确的解剖结构，可触及胸骨和肋骨。</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移动交互式高级婴儿心肺复苏模拟人</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1.可通过移动端扫描二维码无线连接模拟人，移动端不需要安装软件。移动端可选用手机或平板，IOS或Andriod平台不限。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2、模拟人内置锂电池，可在户外进行心肺复苏训练或考核。</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训练模式下，由语音全程引导操作流程。可同步显示按压、吹气、循环次数以及错误提示。错误提示包括按压中断时间、按压过大、按压过小、按压多次、按压少次、回弹不足，按压位置错误、吹气过快，吹气入胃，吹气多次、吹气少次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考核模式下用户可自行设置考核参数，包括考核时间，按压中断时间、按压频率、按压正确率，吹气正确率，吹气过快等。考核结束后，系统可自动评判操作是否合格，并给出整个心肺复苏考核过程的数据统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5、检查肱动脉反应：手捏压力皮球，模拟肱动脉搏动。</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坐式儿童身高体重测量仪</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1.坐式，用于测量儿童身高及体重；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2.身高测量范围60cm～160cm；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3.坐高测量范围38cm～100cm，分度值0.5cm；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4.体重量程150kg，分度值50g；</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5.承重板面积约：长×宽37.5cm×27cm（±3cm）</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卧式婴儿身长体重测量仪</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1.卧式，蓝牙；显示方式：LCD背光液晶；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2.身高测量范围51.5cm～100cm；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3.测量误差1mm；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4.体重量程100g～40kg，分度值≥50g</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婴幼儿观察床</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1.用于幼儿躺卧进行查体；</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2.参考尺寸：120cm×60cm×65cm；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3.材质：加粗加厚钢材底架+优质皮革、高回弹海绵+防滑脚垫。</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膳食宝塔模型</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1.主要功能：展示一日膳食应包含的食物种类；</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2.技术要求：包含不少于每日膳食所需的共24种食物模型；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3.每个食物都有详细的营养成分分析，包含热量，蛋白质，脂肪，碳水化合物，重量等；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4.可选食物清单如下（默认配置）：米饭，面条，馒头，燕麦片，大米粥，绿豆，带棒玉米，红薯，面包片，红豆，红枣，西红柿，南瓜，白萝卜，苹果，</w:t>
            </w:r>
            <w:r>
              <w:rPr>
                <w:rFonts w:hint="eastAsia" w:ascii="宋体" w:hAnsi="宋体" w:eastAsia="宋体" w:cs="宋体"/>
                <w:color w:val="000000"/>
                <w:sz w:val="21"/>
                <w:szCs w:val="21"/>
                <w:highlight w:val="none"/>
                <w:lang w:eastAsia="zh-CN"/>
              </w:rPr>
              <w:t xml:space="preserve">橘子</w:t>
            </w:r>
            <w:r>
              <w:rPr>
                <w:rFonts w:hint="eastAsia" w:ascii="宋体" w:hAnsi="宋体" w:eastAsia="宋体" w:cs="宋体"/>
                <w:color w:val="000000"/>
                <w:sz w:val="21"/>
                <w:szCs w:val="21"/>
                <w:highlight w:val="none"/>
              </w:rPr>
              <w:t xml:space="preserve">，桃，西瓜，瘦猪肉，牛肉，鱼，羊肉，虾，鸡蛋，牛奶，核桃，葵花籽，黄豆，油，盐，腐竹，黄瓜，蒜苔，豆腐干，猕猴桃，肥肉，包子，火腿肠，黑豆，花卷，豆腐，凉粉，芒果，石榴，鸡腿，马铃薯，大白菜，海参，鸭蛋，黑芝麻，素饺子，小米，生菜，藕，梨，柠檬，鸭血，鲍鱼，白酒，月饼，面粉，苏打饼干，大蒜，豆角，葡萄，花生，醋，红酒，绿豆糕，鸭胸脯肉。</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人体八大系统模型</w:t>
            </w:r>
            <w:r/>
          </w:p>
        </w:tc>
        <w:tc>
          <w:tcPr>
            <w:shd w:val="clear" w:color="auto" w:fill="ffffff"/>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1.材质：塑胶；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包含：人体内分泌系统模型；人体运动系统（85厘米骨骼）；人体消化系统模型；人体呼吸系统模型；人体生殖系统（男性、女性）、泌尿系统模型；人体神经系统－-脑解剖模型；人体循环系统－－心脏解剖模型；人体感受器系统－－眼、耳朵、皮肤解剖模型；人体系统挂图一套。</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器械柜</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33"/>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用于盛放各类器械；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2.尺寸：≥90*50*180cm，厚度≥1.2mm；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3.材质：不锈钢，耐高温耐腐、pvc密封胶条防尘防菌。</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产妇护理床</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1.参考尺寸：长×宽×高=180cm×60cm×60cm；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2.采用加厚床身设计，柔软弹性不塌陷，回弹性好；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3.舒适加厚皮革，耐磨耐用，防断裂，防水性好；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4.底角可调节高度，优选塑料，耐磨防滑无噪声；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5.主要功能：母婴照护、产后恢复等。</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护理床配套</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一、床头柜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1.参考尺寸：480*480*760mm，与护理配套；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2.材质：ABS高档塑料；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3.上部为抽屉，下部为单开门储物柜；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二、椅子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1.可折叠设计；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2.参考尺寸：450*810mm；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三、床上用品四件套</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护理隔帘装置</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1.根据设计，定制</w:t>
            </w:r>
            <w:r>
              <w:rPr>
                <w:rFonts w:hint="eastAsia" w:ascii="宋体" w:hAnsi="宋体" w:cs="宋体"/>
                <w:color w:val="000000"/>
                <w:sz w:val="21"/>
                <w:szCs w:val="21"/>
                <w:highlight w:val="none"/>
                <w:lang w:val="en-US" w:eastAsia="zh-CN"/>
              </w:rPr>
              <w:t xml:space="preserve">窗帘</w:t>
            </w:r>
            <w:r>
              <w:rPr>
                <w:rFonts w:hint="eastAsia" w:ascii="宋体" w:hAnsi="宋体" w:eastAsia="宋体" w:cs="宋体"/>
                <w:color w:val="000000"/>
                <w:sz w:val="21"/>
                <w:szCs w:val="21"/>
                <w:highlight w:val="none"/>
              </w:rPr>
              <w:t xml:space="preserve">隔</w:t>
            </w:r>
            <w:r>
              <w:rPr>
                <w:rFonts w:hint="eastAsia" w:ascii="宋体" w:hAnsi="宋体" w:cs="宋体"/>
                <w:color w:val="000000"/>
                <w:sz w:val="21"/>
                <w:szCs w:val="21"/>
                <w:highlight w:val="none"/>
                <w:lang w:val="en-US" w:eastAsia="zh-CN"/>
              </w:rPr>
              <w:t xml:space="preserve">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2.材质：布艺；L型或U型天花路轨，含扣环；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3.约6—7米轨道，7—8米帘子，蓝色或白色</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治疗车</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1.材质：不锈钢或防腐塑钢；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2.尺寸参考：（60~80）*（40~50）*（75~88）cm；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3.上部带抽屉，静音滑道，抽拉灵活无噪声；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4.配污物桶或污物盆。配置四个静音耐磨万向脚轮；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5.用于盛放照护物品。</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辆</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操作台</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1.定制、用于设备操作、物品存放等；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2.参考尺寸（W*H）：≥60*120cm，长度以实际需求为准；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3.材质：生态板；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4.整体要求：现代简约风格；整体造型和颜色搭配与主题环境协调。</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产后瑜伽套装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一、瑜伽垫</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1.参考尺寸：180*60cm；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2.优质PVC发泡材料，发泡颗粒饱满；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3.防滑纹路设计、精美印花。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二、瑜伽小球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1.参考尺寸：φ25cm；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2.优质环保PVC，发泡颗粒饱满；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3.承重力强、球体无压力记忆回弹。</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智慧黑板直录版</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一、整机性能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1.整体采取左右互联黑板+中间主屏组合方式，拼缝＜2mm，左右互联副板与主屏屏幕均采用无突出边框纯平面设计，主屏与副板采用标准USB口连接；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2.整机外观尺寸：宽≥4200mm，高≥1230mm，厚度≤90mm，显示区底部笔槽宽度≥15mm的笔槽，两端设计包围式堵头，增强一体化效果，整体采用金属圆角包边防护；后面与之前一样（智慧黑板）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二、智慧黑板=触摸互动+白板水笔书写+粉笔书写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产品正面显示为一个由两块拼接而成的平面普通黑板，其中两块为不小于86英寸的触摸屏，整个黑板平面满足白板笔、无尘粉笔与普通粉笔书写的功能。整个黑板结构须为无推拉式，可实现整块黑板在同一平面书写。模块化设计，拆卸方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2.整体外观尺寸：宽度≥4000mm ，高度≥1200mm ，厚度≤98mm；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3.显示尺寸86英寸，单屏物理分辨率≧3840*2160。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4.内部信号接口：VGA*1；HDMI*2，AV*1，line in*1，内置音频喇叭：2*10w，控制接口：RS232*1，外部接口：HDMI*1；</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5.产品采用国内最先进的纳米电容触控技术，手指轻触式多点（不小于10点触控）互动体验，满足连接 Windows 操作系统电脑外部设备时正常无障碍使用；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6.内置电脑配置不低于：OPS架构，数据USB*4；处理器：i7处理器；内存：≥16G，硬盘：≥512G-SSD 固态硬盘；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内置 Wi-Fi：IEEE 802.11ac 标准，保证足够的信号强度；内置网卡：10M/100M/1000M,RJ45*1；</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自带window系统。</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集控智慧高清直录编系统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一、整体要求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1.支持多路视频输入：POE-IN≥3路，HDMI≥1路；分辨率最大支持4K@30P输入，可带音频；</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2.支持≥2路HDMI路的视频输出，分辨率最大可达1080@60P；支持≥4路高清3G/HD-SDI视频输入；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3.音频输入输出：支持≥2路RJ45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MIC）音频输入，≥2路3.5mm Line in 音频输入；支持≥2路3.5mm Line out音频输出；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4.存储：标配≥2T硬盘、外接USB存储，支持USB导出，支持ftp下载；视频码率：500kbps~40Mbps可调；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5.可同时支持吊麦，无线麦克风和课件的扩声、全输入录音；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6.备选通道可扩展12通道，支持加载本地视频，网络视频、远程互动视频等；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7.支持与第三方设备进行对接，支持通过智能面板对设备进行开关机、开始录制/停止录制功能，实现多种外部设备触发机制；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二、智能直录播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多场景录制编辑：系统可实现教师、学生、板书和多媒体设备等多个场景之间，依据位置、动作或其他因素切换；实现1080P（1920×1080）高清采集及输出，视频录制、直播分辨率均可支持1920×1080、1280×720等标准；视频编码分辨率支持：352*288～1920*1080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2.教师的图像与声音保持同步，低延时、适用于多种网络环境下的直播；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3.视频编码：支持H.264/H.265，支持流媒体格式；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4.支持自动导切、跟踪管理：基于图像识别进行跟踪拍摄，多种逻辑跟踪技术，支持教师特写和全景画面切换跟踪，支持学生起立回答问题特写跟踪；支持电脑课件信号自动检测跟踪。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5.内嵌音频处理芯片，自研先进声音处理算法，对环境</w:t>
            </w:r>
            <w:r>
              <w:rPr>
                <w:rFonts w:hint="eastAsia" w:ascii="宋体" w:hAnsi="宋体" w:eastAsia="宋体" w:cs="宋体"/>
                <w:color w:val="000000"/>
                <w:sz w:val="21"/>
                <w:szCs w:val="21"/>
                <w:highlight w:val="none"/>
                <w:lang w:eastAsia="zh-CN"/>
              </w:rPr>
              <w:t xml:space="preserve">噪声</w:t>
            </w:r>
            <w:r>
              <w:rPr>
                <w:rFonts w:hint="eastAsia" w:ascii="宋体" w:hAnsi="宋体" w:eastAsia="宋体" w:cs="宋体"/>
                <w:color w:val="000000"/>
                <w:sz w:val="21"/>
                <w:szCs w:val="21"/>
                <w:highlight w:val="none"/>
              </w:rPr>
              <w:t xml:space="preserve">进行有效去除，实现教学互动中的回声消除，保证教学过程的声音清晰明亮；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6.录制模式：支持电影+资源模式两种录制模式，可同步录制；并支持录制和电影模式的自动编辑；</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7.录制前，支持增加片头片尾视频；并支持台标、角标、字幕插入；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8.录播过程中，可以控制开始、暂停和结束，暂停后继续录制生成的视频文件为一个视频文件；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9.支持显示磁盘剩余空间，支持在线升级；</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10.录制生成资源文件包括MP4格式，标准格式的视频文件可使用主流播放器播放；</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三、智能导播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1.远程操作：支持远程导播平台视频监视、视频切换、音频调整、视频直播、远程互动、暂停/录制，且直播功能与录制互不影响；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2.智能录制：支持通过智能面板实现对设备进行开关机、开始录制/停止录制功能；同步支持教学软件端实现一键录制操作。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3.支持云台方向、云台速度、云台变倍控制以及快捷按键操作；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4.支持多路信号组合：支持不少于6种方式的视频叠加，可以将多个视频自由叠加在同一个视频窗体中，画中画、二分屏、三分屏、四分屏、六分屏等；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5.须支持RTMP推流功能，除录播向资源平台实现FTP推流上传外，至少额外支持2路以上RTMP推流功能，实现与第三方平台和系统的推流对接；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6.具备特技渲染功能：提供12种以上切换特效，包括擦除、覆盖、淡进淡出等主流切换特效；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7.支持自动、手动两种方式的导播切换；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8.web远程导播：支持登录web对远程直播进行控制，导播模式的切换，录像开始和停止，直播通道切换等；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可视化管理：可通过网页端进行参数配置，一次实现音频处理技术和录播设置。音频处理技术支持回声消除，延迟时间设置，背景噪声抑制，人声自动增益，录音降噪支持十个等级的设置。录播设置支持录制视频分段存储时间的设置，录制通道支持自由选择PGM或教师特写场景；巡课设置支持开机自动巡课录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10.支持远程管理录播主机上的视频文件，远程下载和点播录像；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11.导播平台集视频监视，视频切换、云台控制，音频调整，直播/录制、暂停等控制，特技效果、直播监视等功能，并在一个界面中显示；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12.全景画面与特写画面必须采用相同图像传感器和图像处理器，确保两者图像输出亮度、颜色、风格等保持一致。</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智慧直录编融合云主机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一、整体要求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1.采用一体化结构设计，至少直录播控制单元、内置4K摄像机、音频处理单元等，非多个独立产品的组合体设备；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2.表面采用钢化玻璃镜面设计，整机尺寸（长宽）≥800*280mm；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3.内置无线路由功能，支持多点接入，带宽300Mbps以上；</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4.支持主讲教室一键开直播，听讲教室一键看直播，一个老师在教室授课，其他班级同步听课，学生也可以通过手机、平板等终端设备进行远程上课；</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5.支持本地无感扩音，老师无需配话筒或传统小蜜蜂设备，可以自由走动授课发言，教室中后排学生可以清晰听课；</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6.支持一键录课，课堂重难点，老师一键录制，精讲微视频自动推到学生app，学生课后可以反复观看学习；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7.互动教学：可以实现一对一、一对多远程互动。远程互动可以同画面互动直播，不受空间、地域限制，实现优质课堂资源共享；</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8.可针对性设置视频流标识的开始和停止，支持自动截取；支持生成微课视频，支持自动上传至云平台；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9.可在录课的同时实时推送视频流到资源平台或流媒体服务器，进行课堂直播，实现空中课堂；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10.可生成视频文件保存在资源平台服务器上，后期老师和学生也可以随时在资源平台上点播观看；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11.微信分组推送，关注服务号即可实时查看教师推送的视频内容；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12.提供不少于4路摄像机图像画面和1路电脑画面和1路自定义画面预览窗口，直接点击预览窗口进行PGM画面切换；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13.支持一键启动录制，提供手动、半自动、全自动三种录制模式，并可任意切换。手动模式支持视频预览、直播输出监视、视频切换、音频调整、录制模式切换等功能；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二、内置4K摄像机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1.支持4K超高清分辨率图像，最大可提供4K@30fps图像编码输出，同时向下兼容1080p，720p等分辨率；具备畸变矫正功能；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.传感器尺寸：1/2.5英寸， 有效像素≥850万；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.网口支持PoE供电功能，控制、供电、视频仅需一条网线即可完成；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.内置领先图像识别与跟踪算法，无需任何辅助定位摄像机或跟踪主机即可实现平滑自然的EPTZ跟踪效果；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.每台摄像机可同时输出2路1080P码流的图像，分别为全景画面和特写画面，系统内置教师跟踪模块；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.支持网口音视频编码输出，支持H.265/H.264/MJP</w:t>
            </w:r>
            <w:r>
              <w:rPr>
                <w:rFonts w:hint="eastAsia" w:ascii="宋体" w:hAnsi="宋体" w:cs="宋体"/>
                <w:color w:val="000000"/>
                <w:sz w:val="21"/>
                <w:szCs w:val="21"/>
                <w:highlight w:val="none"/>
                <w:lang w:val="en-US" w:eastAsia="zh-CN"/>
              </w:rPr>
              <w:t xml:space="preserve">E</w:t>
            </w:r>
            <w:r>
              <w:rPr>
                <w:rFonts w:hint="eastAsia" w:ascii="宋体" w:hAnsi="宋体" w:eastAsia="宋体" w:cs="宋体"/>
                <w:color w:val="000000"/>
                <w:sz w:val="21"/>
                <w:szCs w:val="21"/>
                <w:highlight w:val="none"/>
              </w:rPr>
              <w:t xml:space="preserve">G三种视频编码标准，音频AAC编码标准；支持RTSP、RTMP、Onvif、组播等网络协议；网络视频编码码率最大可支持20Mbps，网络音频编码码率最大可支持256Kbps；</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.支持EPTZ功能，至少支持8X数字变焦。镜头支持自动对焦无畸变镜头；支持WDR，可以应对不同光照环境。同时具有2D和3D降噪算法，降低图像噪声；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.支持多种白平衡方式供选择，包括自动、室内、室外、一键式、手动、指定色温；</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三、音频处理单元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.要求音频处理单元和功率放大器集成到主机机箱内；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2.具备抗混响功能，避免多路语音互相干扰，突出重要语音信号，抗混响等级可调；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.支持16段EQ调节，满足各种场景；音量状态实时显示和外部按键控制；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25.支持网络参数配置；支持RS485控制功能；支持软硬件一键恢复出厂设置；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.集成动态自适应</w:t>
            </w:r>
            <w:r>
              <w:rPr>
                <w:rFonts w:hint="eastAsia" w:ascii="宋体" w:hAnsi="宋体" w:eastAsia="宋体" w:cs="宋体"/>
                <w:color w:val="000000"/>
                <w:sz w:val="21"/>
                <w:szCs w:val="21"/>
                <w:highlight w:val="none"/>
                <w:lang w:eastAsia="zh-CN"/>
              </w:rPr>
              <w:t xml:space="preserve">噪声</w:t>
            </w:r>
            <w:r>
              <w:rPr>
                <w:rFonts w:hint="eastAsia" w:ascii="宋体" w:hAnsi="宋体" w:eastAsia="宋体" w:cs="宋体"/>
                <w:color w:val="000000"/>
                <w:sz w:val="21"/>
                <w:szCs w:val="21"/>
                <w:highlight w:val="none"/>
              </w:rPr>
              <w:t xml:space="preserve">抑制技术（去除包含空调、排气扇等噪音干扰），保证声音质量；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.支持可视化管理，可通过平台进行参数配置和设备在线状态查询；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.内置教室环境的频率响应测试系统，测试模式时可实时显示房间频率；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.与Internet时间同步，可设置音频处理器静音开启和关闭的时间；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.具有均衡器参数自适应功能，可根据测试得到的房间频率响应自动调节主机的均衡器参数，免人工调试就能达到最佳音频输出效果；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.数字音频主机具有可视化环境声场检测功能，根据GB-50118提出的教室声环境国家标准，数字音频主机能够检测标准中要求的：不同频段混响时间、背景</w:t>
            </w:r>
            <w:r>
              <w:rPr>
                <w:rFonts w:hint="eastAsia" w:ascii="宋体" w:hAnsi="宋体" w:eastAsia="宋体" w:cs="宋体"/>
                <w:color w:val="000000"/>
                <w:sz w:val="21"/>
                <w:szCs w:val="21"/>
                <w:highlight w:val="none"/>
                <w:lang w:eastAsia="zh-CN"/>
              </w:rPr>
              <w:t xml:space="preserve">噪声</w:t>
            </w:r>
            <w:r>
              <w:rPr>
                <w:rFonts w:hint="eastAsia" w:ascii="宋体" w:hAnsi="宋体" w:eastAsia="宋体" w:cs="宋体"/>
                <w:color w:val="000000"/>
                <w:sz w:val="21"/>
                <w:szCs w:val="21"/>
                <w:highlight w:val="none"/>
              </w:rPr>
              <w:t xml:space="preserve">、语言传输指数STI；</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.内置嘈杂声环境监测功能，自动根据环境噪声来开启关闭设备扩声</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智能高清云摄像机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1.支持4K超高清分辨率图像，最大可提供4K@30fps图像编码输出，同时向下兼容1080p，720p等分辨率；</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2、具备畸变矫正功能。网口支持PoE供电功能，控制、供电、视频仅需一条网线即可完成；</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3、内置领先图像识别与跟踪算法，无需任何辅助定位摄像机或跟踪主机即可实现平滑自然的EPTZ跟踪效果，每台摄像机可同时输出2路1080P码流的图像，分别为“全景画面”和“特写画面”；</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4、支持网口音视频编码输出，支持H.265/H.264/MJP</w:t>
            </w:r>
            <w:r>
              <w:rPr>
                <w:rFonts w:hint="eastAsia" w:ascii="宋体" w:hAnsi="宋体" w:cs="宋体"/>
                <w:sz w:val="21"/>
                <w:szCs w:val="21"/>
                <w:highlight w:val="none"/>
                <w:lang w:val="en-US" w:eastAsia="zh-CN"/>
              </w:rPr>
              <w:t xml:space="preserve">E</w:t>
            </w:r>
            <w:r>
              <w:rPr>
                <w:rFonts w:hint="eastAsia" w:ascii="宋体" w:hAnsi="宋体" w:eastAsia="宋体" w:cs="宋体"/>
                <w:sz w:val="21"/>
                <w:szCs w:val="21"/>
                <w:highlight w:val="none"/>
              </w:rPr>
              <w:t xml:space="preserve">G三种视频编码标准，音频AAC编码标准；</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5、支持RTSP、RTMP、Onvif、组播等网络协议；网络视频编码码率最大可支持20Mbps，网络音频编码码率最大可支持256Kbps。</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智能图像定位跟踪识别系统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rPr>
              <w:t xml:space="preserve">一、整体要求</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内置电子云镜功能，无需其他跟踪辅助设备，通过一台摄像机即可实现学生全景与学生特写的拍摄；</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内置人体行为识别图像算法来检测学生的起立和坐下动作，无需外接跟踪主机；</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根据学生远近自动变焦，始终保持合适大小；</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特写景别和全景景别颜色、亮度等保持一致；</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智能识别单人或者多人起立和坐下动作，并给出单人或者多人的特写定位镜头；</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可识别站立后的离座走开动作，对不同身高具有很好的适应性；</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全景景别视频和特写景别视频之间可配置为自动切换模式；</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安装位置灵活，不局限于教室前面正中位置；</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支持摄像机控制功能，包括电子云台控制、焦距调节等；</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支持摄像机图像质量调节功能，包括亮度、对比度、色调、饱和度；</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可直接在网络视频上用鼠标框选定位区域和屏蔽区域；</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学生起立、坐下等切换码可通过参数设置界面任意自定义；</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支持网络参数设置与修改，支持一键恢复默认参数；</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支持曝光模式设置功能，包括自动、手动；</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支持抗闪烁频率、动态范围、光圈、快门参数设置；</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支持自动白平衡设置功能，红、蓝增益可调范围0~200；</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支持噪声抑制设置功能，支持2D、3D降噪。</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二、针对教师</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根据教师动作幅度、移动速度等进行智能分析判断，结合人脸高度位置，对摄像机同时进行转动、俯仰和推拉综合精细智能控制，从而实现教师小幅度范围运动，摄像机不动作，大幅度运动才跟踪；</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根据人脸的高度，智能调整摄像机的俯仰高度，因此不同高度的教师上课时，人脸在摄像机中总能保持合适的高度；</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教师跟踪系统综合了人脸检测跟踪和运动分析两种手段，实现了教师在各种姿态下的锁定跟踪，即使教师转身面对黑板而背对教师机时，也能持续锁定教师，而不会受到其他运动目标的干扰；</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教师特写画面，用户可根据实际情况进行调节，设定适当的画面大小和画面高度。当跟踪区域内有教师移动时，教师机可跟随教师移动进行跟踪拍摄，整个过程画面平滑清晰；</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当教师走下讲台时，讲台上没有目标，老师机通过网络给录播主机发送老师走下讲台的命令码，录播根据导播策略自动切换为学生全景镜头。</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三、针对学生</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自动识别学生区域起立和坐下动作，自动排除学生区域移动目标；</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学生起立时，识别检测到学生区域有起立动作；多个学生站立时，学生会自动给起立学生间距较好的特写镜头，也可使用全景镜头；</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学生依次坐下时，镜头给仍然站立的学生特写；当全部学生坐下时，讲台上有老师，录播自动切换到教师特写镜头；</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只识别学生区域学生起立和坐下动作，自动排除学生区域移动的目标。当学生起立回答问题时，学生机识别检测到学生区域有起立动作，通过网络发送学生起立的命令码给录播。录播收到学生起立命令码后，自动切换学生全景图像到直播通道。</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智能全向拾音器</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1.专用于教育整体远距离语音解决方案，配备性能卓越的数字音频处理技术；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全频带AEC自适应回声消除、AFC自适应反馈消除、自适应</w:t>
            </w:r>
            <w:r>
              <w:rPr>
                <w:rFonts w:hint="eastAsia" w:ascii="宋体" w:hAnsi="宋体" w:eastAsia="宋体" w:cs="宋体"/>
                <w:color w:val="000000"/>
                <w:sz w:val="21"/>
                <w:szCs w:val="21"/>
                <w:highlight w:val="none"/>
                <w:lang w:eastAsia="zh-CN"/>
              </w:rPr>
              <w:t xml:space="preserve">噪声</w:t>
            </w:r>
            <w:r>
              <w:rPr>
                <w:rFonts w:hint="eastAsia" w:ascii="宋体" w:hAnsi="宋体" w:eastAsia="宋体" w:cs="宋体"/>
                <w:color w:val="000000"/>
                <w:sz w:val="21"/>
                <w:szCs w:val="21"/>
                <w:highlight w:val="none"/>
              </w:rPr>
              <w:t xml:space="preserve">抑制，音质清晰；智能混音技术，自动语音跟踪技术；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支持将采集的音频信号合成到视频文件中；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频率响应： 100Hz～16KHz；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灵敏度： -32dB±3 dB （re 0dB=1V/Pa@1kHz）；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指向特性： 超心型 ≤130°；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输出阻抗： 200Ω±30%；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输出幅度： Max 300mV；</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最大承受声压： 110dB SPL（A计权@1KHz，THD≤3%）；</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动态范围； 80dB（A）；</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信噪比： 64dB(A</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re 94dBSPL=1Pa@1KHz）；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幻象供电： 直流48V；</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输出连接器：外置式3针卡侬XLR-3-12C。</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麦克风与录播主机仅用一条标准网线直连完成供电、音频传输，不需外接电源；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与集控式超高清录播系统以及智慧黑板实现无缝底层对接使用</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全空间智能无感扩音系统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一、拾音单元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本地无感扩音和远程互动课堂中讲台区域教师拾音设备；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支持不用人为干预即可将焦点对准当前发言人；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全向麦克风经技术处理，可同时支持吊麦、无线麦克风和课件扩声、全输入录音，扩声不啸叫，录音高保真；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拾音半径可达5-8米，满足100-160㎡范围内任意角度，讲台区域全覆盖、任意距离自由发言；</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可满足符合教室标准环境的吊麦又扩又互动的应用；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二、功放单元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频率响应： 20Hz～16kHz；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INPUT输入阻抗： 20kΩ；LINEIN输入阻抗： 10kΩ；输出阻抗： 100R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环境噪声消除： ≤30dB；无线输入降噪： ≤30dB；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增益调节范围：-43dB～59dB；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总谐波失真（THD+N）： ≤0.3%(Vo = 2Vrms, f = 1kHz</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信噪比（S/N）： 80dBA( 20Hz～16kHz，A计权</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最大输入电平：6dBu；最大输出电平：12dBu；</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保护电路：ESD ±6kV(contact)±8kV (air) 、雷击保护、电源反接保护；</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输入接口： 2×凤凰接口差分输入，2×凤凰接口线性输入；输出接口： 4×凤凰接口单端输出，2×水晶头功放输出；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电源接口： 1×12V DC圆孔插座；网络接口： 10Base-T/100Base-TX；控制接口：1×RS485；</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三、扩音单元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本地音频输出设备；频率范围：60Hz-20kHz；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较大输入电压：25.3V PMS（2小时），50.6V；</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峰值灵敏度：90dB，1W/1m(100Hz-KHz</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覆盖角度：100°×100°；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指向性指数：7.6dB(1kHz-16kHz</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额定阻抗：8ohms（直通）；</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低频单元：135mm（5.25寸）；</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高频单元：19mm。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高密度增容型无线路由</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1.有Wi-Fi模块，需同时支持如下通讯协议：Wi-Fi802.11b/g/n， Zigbee802.15.4，Ethernet802.3，IPv4，IPv6；</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2.IEEE802.11ac 并向后兼容 IEEE802.11a/b/g/n；支持 2.4GHz/5GHz 同步双频；发射功率（2.4GHz）：≥23dBm；发射功率（5GHz）：≥28dBm；数据传输率（802.11ac80MHz通道）：≥1.3Gbps；</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3.客户端无掉线点数同时支持≥50个；支持使用SNMP协议的集中管理软件</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多媒体中控讲台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 参考规格：闭合：1100*770*1000（±5mm）；展开：1100*1650*1000（±5mm）；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2.桌面实木，厚度≥20mm，密度大于720kg/立方米，边缘单面封边，冷压工艺三聚氰胺贴面，防划、防泼水；主体采用1.0—1.5mm冷轧钢板，钣金全部通过酸洗磷化喷涂后再进行高温烘烤，防锈；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3.上层正面为ABS工程塑料，前壳尺寸：≦1100*170*330mm，双U型塑钢桌</w:t>
            </w:r>
            <w:r>
              <w:rPr>
                <w:rFonts w:hint="eastAsia" w:ascii="宋体" w:hAnsi="宋体" w:cs="宋体"/>
                <w:color w:val="000000"/>
                <w:sz w:val="21"/>
                <w:szCs w:val="21"/>
                <w:highlight w:val="none"/>
                <w:lang w:val="en-US" w:eastAsia="zh-CN"/>
              </w:rPr>
              <w:t xml:space="preserve">腿</w:t>
            </w:r>
            <w:r>
              <w:rPr>
                <w:rFonts w:hint="eastAsia" w:ascii="宋体" w:hAnsi="宋体" w:eastAsia="宋体" w:cs="宋体"/>
                <w:color w:val="000000"/>
                <w:sz w:val="21"/>
                <w:szCs w:val="21"/>
                <w:highlight w:val="none"/>
              </w:rPr>
              <w:t xml:space="preserve">整体弧形设计；塑料前壳和钣金主体通过卡扣配合并通过螺丝固定，折弯弧度≧16°，保护师生安全；扶手采用ABS工程塑料（尺寸598*50*75mm）分层设计，色彩与桌面一致，扶手中空，可扩充ID读卡器并预留安装和接线位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功能：上层预留翻转显示器安装位，尺寸≤560*340mm（≤23.8寸显示器），不锈钢可调阻尼转轴，翻转板可在0-130°中任意停留，不反扣。上层立面围边高100mm，讲台内自带固定线孔位，可对台内所有设备线进行固定；上层使用一把锁控制所有门，预留电子锁和弹跳锁锁具安装位，方便扩充使用。使用和维护钥匙分开，方便管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5.上层采用等长双抽屉设计，上方抽屉预留键鼠安装位。键盘抽屉下方为储物抽屉，键盘抽屉和储物抽屉采用联动设计，可任意顺序关闭抽屉；抽屉采用三节加厚钢珠静音导轨，厚度为1.2mm；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6.产品使用的导轨检测结果符合QB/T 10125-2021《人造气氛腐蚀试验盐雾试验》、GB/T 6461-2002《金属基体上金属和其他无机覆盖层经腐蚀试验后的试样和试件的评级》检验要求，保护评级为RA为十级；</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下层前门采用对开门设计，右侧预留光驱门，不打开柜门即可开关电脑和使用光驱，预留主机限位孔及限位卡槽；左侧设备门，标配19寸国标机架，可拆卸立柱及挡板，放置中控主机，功放等多媒体设备，设备总空间12U，采用天地锁，耐用、防盗。后门采用单开门设计，便于拆装，后门开门方向为从右到左顺时针方向；下层右侧板预留86个安装位置，敲落孔设计；前后门和左右两侧均开有散热孔，美观大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8.下层拼装式设计，前后门槛利用螺丝进行固定，安装简单，底面离地6CM，防潮、防锈。</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运营工作站</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34"/>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CPU：≥I7 十二代；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2.内存：≥16G；</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3.硬盘：≥512G固态；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4.显存：≥4G独立显卡；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5.显示器≥23寸，含键鼠，千兆网卡；</w:t>
            </w:r>
            <w:r/>
          </w:p>
          <w:p>
            <w:pPr>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color w:val="000000"/>
                <w:sz w:val="21"/>
                <w:szCs w:val="21"/>
                <w:highlight w:val="none"/>
                <w:lang w:val="en-US" w:eastAsia="zh-CN" w:bidi="ar"/>
              </w:rPr>
              <w:t xml:space="preserve">A02010104 台式计算机</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幼儿长方形桌</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材质：天然纯实木、原木色、儿童环保漆；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参考尺寸：120*60*53cm</w:t>
            </w:r>
            <w:r>
              <w:rPr>
                <w:rFonts w:hint="eastAsia" w:ascii="宋体" w:hAnsi="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幼儿正方形桌</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材质：天然纯实木、原木色、儿童环保漆；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参考尺寸：60*60*53cm；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幼儿椅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材质：天然纯实木、原木色、儿童环保漆；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参考尺寸：20cm*30cm*45cm</w:t>
            </w:r>
            <w:r>
              <w:rPr>
                <w:rFonts w:hint="eastAsia" w:ascii="宋体" w:hAnsi="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36</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生活类材料包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一、仿真水果：1套；12种水果；材质：塑料；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二、仿真蔬菜：1套；12种蔬菜；材质：塑料；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三、幼儿模拟售卖台：1套；尺寸：80*30*60cm；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1.柜体使用18mm厚度E0级优质环保枫木纹双贴面饰面刨花板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2.表面枫木纹饰面耐磨、耐污、耐划伤、易清洁。柜配有</w:t>
            </w:r>
            <w:r>
              <w:rPr>
                <w:rFonts w:hint="eastAsia" w:ascii="宋体" w:hAnsi="宋体" w:eastAsia="宋体" w:cs="宋体"/>
                <w:color w:val="000000"/>
                <w:sz w:val="21"/>
                <w:szCs w:val="21"/>
                <w:highlight w:val="none"/>
                <w:lang w:eastAsia="zh-CN"/>
              </w:rPr>
              <w:t xml:space="preserve">六根</w:t>
            </w:r>
            <w:r>
              <w:rPr>
                <w:rFonts w:hint="eastAsia" w:ascii="宋体" w:hAnsi="宋体" w:eastAsia="宋体" w:cs="宋体"/>
                <w:color w:val="000000"/>
                <w:sz w:val="21"/>
                <w:szCs w:val="21"/>
                <w:highlight w:val="none"/>
              </w:rPr>
              <w:t xml:space="preserve">直径为25mm的橡胶木圆棒，圆棒上共配有九个教具盒。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3.边缘使用环保木蜡油两底两面处理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4.五金件选用环保五金、安全无毒。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5.整体边角安全防撞设计，对所有外露面、外露角进行弧状倒角设计，避免锐角产生，最大程度地避免儿童碰撞伤害。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 整体甲醛释放量达到E0级别。</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四、圆桌：1个；桌面尺寸：60cm直径   高度可选：55cm；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1.桌面材料采用25mm厚度E0级优质环保枫木纹双贴面饰面刨花板。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2.桌面表面枫木纹饰面耐磨、耐污、耐划伤、易清洁。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3.桌面边缘使用1.5mm厚度PVC封边条，避免锐角产生，最大程度地避免儿童碰撞伤害。PVC材质封边条邻苯物质检测符合国家标准规范的要求。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4.桌腿使用环保水性漆处理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5.桌脚采用52mm*52mm无节橡胶木，外露面做倒圆处理。桌腿底部配以塑料材质防滑脚钉、对地板、地毯等地面材料起保护作用的同时，能有效保护桌腿与方便清洁。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6.五金件选用环保五金、安全无毒。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7.桌面下方使用</w:t>
            </w:r>
            <w:r>
              <w:rPr>
                <w:rFonts w:hint="eastAsia" w:ascii="宋体" w:hAnsi="宋体" w:eastAsia="宋体" w:cs="宋体"/>
                <w:color w:val="000000"/>
                <w:sz w:val="21"/>
                <w:szCs w:val="21"/>
                <w:highlight w:val="none"/>
                <w:lang w:eastAsia="zh-CN"/>
              </w:rPr>
              <w:t xml:space="preserve">立柱</w:t>
            </w:r>
            <w:r>
              <w:rPr>
                <w:rFonts w:hint="eastAsia" w:ascii="宋体" w:hAnsi="宋体" w:eastAsia="宋体" w:cs="宋体"/>
                <w:color w:val="000000"/>
                <w:sz w:val="21"/>
                <w:szCs w:val="21"/>
                <w:highlight w:val="none"/>
              </w:rPr>
              <w:t xml:space="preserve">与桌脚连接，增加整体的稳定性。立水材质使用18mm厚度E0级优质环保枫木纹双贴面饰面多层板。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8.整体边角安全防撞设计，对所有外露面、外露角进行弧状倒角设计，避免锐角产生，最大程度地避免儿童碰撞伤害。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9.整体甲醛释放量达到E0级别；</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五、圆桌桌布：1块；材质：棉麻；尺寸：145*145cm；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六、茶具：1套；1、材质：木质；2、内含：托盘1个、茶杯2个、茶罐1个、茶壶1个、杯子1个、勺子2个；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七、果盘：1个；材质：榉木；规格：上层直径15cm，下层直径18cm。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表演活动区道具套装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故事表演：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1.三只小鸡：小黑鸡套装1套、白鸡套装1套、花鸡套装1套、牛套装1套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2.小猴卖圈：小猴头饰1个、小鸭头饰1个、小猫头饰1个、小狗头饰1个、小老虎头饰1个、小兔头饰1个、游泳圈1个、安全镜1个、滚铁环套装1套、充气足球1个、保利龙板1个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3.百鸟朝凤：五彩翅膀1个、鹦鹉翅膀1个、乌鸦翅膀1个、一次性桌布1个、孔雀羽毛1套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4.三个好朋友：蝴蝶翅膀3套、手腕花1套、太阳公公头饰1个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5.谁怕谁：老鼠帽1个、小猫头饰1个、小狗头饰1个、大灰狼头饰1个、大象头饰1个、老虎头饰1个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6.爱比美的公鸡：大公鸡头饰1个、彩色羽毛裙边1个、啄木鸟头饰1个、蜜蜂头饰1个、青蛙头饰1个、马头饰1个、大树头饰1个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音乐表演（均含乐谱）：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1.猪小弟：小猪头饰2个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2.拉拉钩：手腕花1个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3.世界真美好：青蛙帽子1个、小猫帽子1个、小猴帽子1个、大公鸡帽子1个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4.洋娃娃和小熊跳舞：皇冠头纱1个、小熊头饰1个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5.大中国：秧歌手帕6个、红绸腰带6个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6.咏柳：水袖1个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7.音乐包：圆午板1个、串铃1个、沙蛋1个、铃鼓1个、碰铃2个，双响筒1个、三角铁2个、音乐曲谱1套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游戏百宝盒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1.共用材料包1套（晾衣架1个、夹子4个、EVA花朵2套、棒偶图卡1套、幕布1套）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2.点读包1套（含点读笔、点读录音贴纸、点读说明手册）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表演区游戏活动指导手册</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表演区手偶玩具套装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1.一家六口手偶：布料及毛类制品；参考尺寸约22*30厘米，爷爷、奶奶、爸爸、妈妈、哥哥、妹妹；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2.职业人物手偶：布料及毛类制品；参考尺寸约22*30厘米，教师、律师、空姐、博士、服务员、司机；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3.十二生肖手偶：布料及毛类制品；参考尺寸约22*30厘米；</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科学区材料套装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生命科学4组：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1.动物拼一拼</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产品明细：胎生动物积木1套、卵生动物积木1套、马口铁盒（12cm*9cm*4cm、蓝）1个、游戏底板1个、食物关系说明卡1张、游戏卡1张、答案卡1张、说明书2张、外箱说明牌1个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2.我的器官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产品明细：器官围裙1套、棋子组（红、蓝）2个、点子骰子（点子1～3各2面）1个、马口铁盒（12cm*9cm*4cm、蓝）1个、游戏底板1个、游戏卡1个、记录单1张、说明书3张、外箱说明牌1个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3.蚂蚁迷宫</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产品明细：蚂蚁工坊2个、放大镜（直径11.5cm，长20cm，橙）1个、放大镜（带灯，白色）1个、记录单1张、说明书1张、外箱说明牌1个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4.我是小园丁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产品明细：种植工具组1套、花盆（高6cm，蓝）1套、花盆（高6cm，绿）1套、花盆（高6cm，粉红）1套、软尺（2cm*150cm）1个、记录单1张、说明书2张、外箱说明牌1个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科学技术6组：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1.造纸小工匠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产品明细：造纸组2套、蝴蝶形状造纸模型1套、主题人物造纸模型1套、纸浆片（12cm*18cm，3个/套）1套、说明书3张、外箱说明牌1个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2.动画放映师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产品明细：3D动画机1套、手持LED闪字小风扇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1个、游戏卡4张、说明书3张、外箱说明牌1个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3.净水小能手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产品明细：过滤实验套装2套、马口铁盒（12cm*9cm*4cm、蓝）1个、游戏卡1张、记录单1张、说明书3张、外箱说明牌1个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4.潜望镜小玩家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产品明细：潜望镜（黑色）1套、潜望镜镜片（3.8cm*5.2cm，20个/套）1套、潜望镜纸卡1套、游戏卡4张、记录单1张、说明书2张、外箱说明牌1个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5.齿轮家族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产品明细：齿轮游戏套装1套、链条（33节/套，绿）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1套、说明书3张、外箱说明牌1个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6.转吧！水轮车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产品明细：水轮车1套、游戏底座1个、水流演练器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1个、说明书2张、外箱说明牌1个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物质科学活动组：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1.魔幻的镜子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镜像拼图盒Ⅰ（含塑料块）1套、镜像拼图盒Ⅱ（含塑料块）1套、万花筒材料套装1套、万花筒镜头盖1套、圆形透明塑料镜片（直径3.9cm，10个/套）1套、长方形塑料镜片（2.7cm*10cm，30个/套）1套、万花筒贴纸1套、答案卡1张、说明书2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2.我是小电工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产品明细：电子积木1套、马口铁盒（12cm*9cm*4cm、蓝）1个、记录单1张、说明书3张、外箱说明牌1个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3.磁力小车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产品明细：磁力小车套装1套、记录单1张、说明书3张、外箱说明牌1个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地球科学2组：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1.月相的秘密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产品明细：月相盒1个、月相挂毯1个、月相粘扣2套、游戏卡1张、说明书2张、外箱说明牌1个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2.气象观察员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产品明细：指针式温湿度计1个、雨量器（高24.5cm）1套、风向标（高22cm）1套、游戏底座1个、记录单1张、说明书3张、外箱说明牌1个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科学区域游戏活动指导方案</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建构活动区道具套装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建构区主体积木16种包括小方块、基本块、双倍块、小方柱、方柱块、大方柱、三角块、十字转接块，数量共310块，含环创材料1套、建构图卡1套、主题辅材包1套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八大主题：便利社区、休闲广场、动物乐园、城际列车、青青公园、乐多卖场、云霄机场、绕城公路</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建构角游戏活动指导方案</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角色活动区道具套装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35"/>
              </w:num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生活模仿游戏：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1.娃娃家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参考规格：外盒参考尺寸22*31*5cm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材质：塑料、藤条、布质、魔术贴、纸质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2.小学体验室</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参考规格：外盒参考尺寸45*31*8cm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材质：棉布、金属、塑料、纸质、松紧带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二、职业体验游戏：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1.医院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参考规格：外盒参考尺寸22*31*5cm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材质：塑料、棉布、纸质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2.美食城</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参考规格：外盒参考尺寸45*31*8cm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材质：天然竹、布质、塑料、纸质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3.写真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参考规格：外盒参考尺寸45*31*10cm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材质：尼龙、松紧带、塑料、羽毛、布质、木质、金属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4.银行</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参考规格：外盒参考尺寸22*31*5cm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材质：塑料、电子元件、纸质、棉布、涤丝、松紧带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5.交通</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参考规格：外盒参考尺寸45*31*8cm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材质：锦纶、涤纶、塑料、纸质</w:t>
            </w:r>
            <w:r>
              <w:rPr>
                <w:rFonts w:hint="eastAsia" w:ascii="宋体" w:hAnsi="宋体" w:eastAsia="宋体" w:cs="宋体"/>
                <w:color w:val="000000"/>
                <w:sz w:val="21"/>
                <w:szCs w:val="21"/>
                <w:highlight w:val="none"/>
                <w:lang w:eastAsia="zh-CN"/>
              </w:rPr>
              <w:t xml:space="preserve">；</w:t>
            </w:r>
            <w:r/>
          </w:p>
          <w:p>
            <w:pPr>
              <w:numPr>
                <w:ilvl w:val="0"/>
                <w:numId w:val="0"/>
              </w:num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三、角色游戏百宝盒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参考规格：外盒参考尺寸45*31*16cm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材质：海绵、保丽龙、棉布、木片、塑料、纸质、毛根、泡沫</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四、角色区游戏活动指导手册</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婴儿教育训练用品</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1.主要功能：模拟婴儿感官及动作训练；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2.具体包含：黑白卡、彩色卡、婴幼儿图书、图片、有声读物、抓握玩具、手摇铃等玩具、各种球、健身架、爬行毯；</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玩教具材料柜</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1.材质：优质实木，儿童环保漆，柜角磨圆处理；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2.参考尺寸：长*宽*高=110*30*80cm；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3.四层；</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标准拐角柜</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1.材质：优质天然纯实木，无结疤，儿童环保漆，柜角磨圆处理；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2.参考尺寸：长*宽*高=30*30*80cm；与四层教具柜配套使用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3.四层；</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千兆网络交换机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机身固化1000M以太网电接口≥8个，非复用SFP千兆光接口≥2个；交换容量≥3Tbps，包转发率≥40Mpps；</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网络机柜</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1.参考尺寸：宽深高600×1000×1050mm；≥19U；</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2.19英寸标准加厚；立柱间距≥480mm；立柱厚度≥2mm；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3.风扇*1；托盘*1；脚轮*4；前后门*1；侧门*2；电源*1；</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4.优质冷轧钢板制作；脱脂、静电喷塑工艺。</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天花吸顶空调</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1.5匹冷暖天花机、一级能效；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2.电压/频率：380V/50Hz；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3.制冷量：≥12000W；制热量：≥13600W；</w:t>
            </w:r>
            <w:r/>
          </w:p>
          <w:p>
            <w:pPr>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cs="宋体"/>
                <w:b/>
                <w:bCs/>
                <w:color w:val="000000"/>
                <w:sz w:val="21"/>
                <w:szCs w:val="21"/>
                <w:highlight w:val="none"/>
                <w:lang w:val="en-US" w:eastAsia="zh-CN" w:bidi="ar"/>
              </w:rPr>
              <w:t xml:space="preserve">A020523 制冷空调设备</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综合布线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1.设计部署</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（1）依据国际布线标准ISO/IEC11801:1995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E）和ANSI/TIA/EIA568A；</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（2）参照《中国建筑电气设计规范》《建筑与建筑群综合布线系统工程设计规范》；《建筑与建筑群综合布线系统工程施工及验收规范》（中国工程建设标准化协会标准）；《结构化布线系统设计总则》等；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2.总体要求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（1）一般采用暗线，在地面或墙面开挖线槽，主区线缆走地面线槽通过支管到各终端；通过桌脚钢管通往桌面，避免线头外露，确保安全美观；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（2）特别情况走明线的，须用合金或不锈钢线管包覆；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（3）插线盒一般部署在桌面或桌脚处、嵌入式。</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240</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基础装修改造</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一、整体要求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1.对本实训室内部按施工要求进行基础装修改造，旨在营造优良和谐、美观大方的空间环境；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2.执行国家及行业相关标准，确保为信息化设备及专业设备安装部署提供基础环境；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3.主要包含：现场拆除与垃圾清运、地面装饰处理、墙面装饰处理、天花装饰处理、灯光照明等；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二、现场环境改造及修整、垃圾清运、卫生清理等：1项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1.对场地原结构和原装饰部分，根据设计规划图纸或本项目实际要求进行改造、修补、平整；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2.对所产生的建筑和装饰垃圾集中搬运、集中堆放、集中处理；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3.对空间集中进行一次全面的打扫、擦拭等卫生处理；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三、地面装饰处理：240㎡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采用3.0mm厚商用PVC塑胶卷材地板，产品须符合GB/T 11982.1-2022、GB 18586-2021及GB 8624-2012标准。</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地板总厚度≥3.0mm，耐磨层厚度≥0.7mm，耐磨等级T级，耐磨转数≥10000转，防火等级B1级，残余凹陷≤0.10mm，尺寸稳定性≤0.2%。</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产品环保性能须满足甲醛未检出，重金属及增塑剂符合国标限量要求。</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施工前基层须做界面剂处理及C20自流平水泥找平，采用环保水性专用胶水铺设，板缝热熔焊接，整体无缝、平整、防滑、耐磨、易清洁。</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开工前须提供有效期内的产品检测报告、防火检测报告、环保检测报告等证明文件。结合强弱电综合布线、给排水等预制工序综合施工；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4.本项目含地脚线、收口条、填缝材料等，含安装与人工。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四、天花墙面装饰处理：240㎡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1.材质：优质环保腻子粉、乳胶漆、阴阳角条；</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进场前提供腻子粉、乳胶漆环保认证证书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2.做法：根据项目情况，综合采用原墙面批灰、腻子填充、平整、粉刷、二次粉刷；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3.结合强弱电综合布线、给排水等预制工序综合施工；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4.颜色：主体白色，根据情况色彩搭配；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5.本项目含辅材/配件/工具/人工费等；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五、灯光照明：240㎡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1.根据施工图或参考效果图，遵循国家和行业相关标准，综合设计采购并安装灯光照明设备；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2.功能性原则：根据不同空间、不同场合、不同应用对象选择不同的照明方式和灯具，并保证照度均匀，平均照度要求≥500Lux；</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美观性原则：采用必要的装饰照明，使用装饰灯具，采用透射、反射、折射等多种手段，并合理统筹灯光照明的造型、材料、色彩、比例、尺度，灯具等；对室内空间进行美化装饰，增加空间层次，渲染环境气氛；</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4.经济性原则：采用性价比较高的灯光照明设计方案，不仅节约灯光照明设备的购置成本，也为以后的电源消耗提供集约化保证；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5.安全性原则：照明设计安全可靠；采取严格的防触电、防短路等安全措施，以避免意外事故的发生。</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240</w:t>
            </w:r>
            <w:r/>
          </w:p>
        </w:tc>
      </w:tr>
      <w:tr>
        <w:trPr>
          <w:trHeight w:val="400"/>
        </w:trPr>
        <w:tc>
          <w:tcPr>
            <w:gridSpan w:val="5"/>
            <w:tcBorders>
              <w:top w:val="single" w:color="000000" w:sz="4" w:space="0"/>
              <w:left w:val="single" w:color="000000" w:sz="4" w:space="0"/>
              <w:bottom w:val="single" w:color="000000" w:sz="4" w:space="0"/>
              <w:right w:val="none" w:color="000000" w:sz="4" w:space="0"/>
            </w:tcBorders>
            <w:tcW w:w="9869" w:type="dxa"/>
            <w:vAlign w:val="center"/>
            <w:textDirection w:val="lrTb"/>
            <w:noWrap w:val="false"/>
          </w:tcPr>
          <w:p>
            <w:pPr>
              <w:jc w:val="left"/>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color w:val="000000"/>
                <w:sz w:val="21"/>
                <w:szCs w:val="21"/>
                <w:highlight w:val="none"/>
                <w14:ligatures w14:val="standardContextual"/>
              </w:rPr>
              <w:t xml:space="preserve">六、智慧虚仿共享实训中心</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运营实训桌</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36"/>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现代风格，主色系默认清爽鲜亮色系，如白、原木、淡绿色；整体造型和颜色搭配与主题环境协调；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2.单人位尺寸参考：≥90*55*75cm；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（1）桌脚：冷轧钢管，厚度≥1.5mm；经除锈、磷化、涂漆；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（2）桌面：采用环保防火板，耐磨、硬度高、防水防火、耐高温、防污抗酸碱，厚度≥25mm；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（3）隐蔽式布线设计，非推拉式键盘。</w:t>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位</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37</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实训椅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37"/>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优质网纹布，耐磨透气，承重性强；坐垫海绵：PU高密度定型海绵，软硬适中，回弹好，不易变形；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2.用于办公、学习、会议；可360度旋转、自由调节升降、可移动、带优质耐磨滚轮；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3.参考尺寸：背高78cm、座高45cm、座宽45cm、椅脚宽52cm；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4.带扶手，配件：优质气压棒，尼龙五星脚，星形轮，坚固耐用。</w:t>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37</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一体化工作站</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38"/>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CPU：ARM架构，CPU物理核数≥8核；CPU线程：≥12线程；CPU最高主频≥2.18Ghz；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2.CPU功耗：TDP≤12.5w；</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3.CPU：通过中国信息安全测评中心安全可靠评测，安全可靠等级Ⅱ级≥Ⅱ级</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4.CPU支持的内存最高速率：≥6400MT/s；</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5.内存：容量≥16GB，支持LPDDR5/LPDDR5X及以上内存类型；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6.固态硬盘：≥256GB；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7.机械硬盘：≥1TB；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8.显示器：≥23.8寸显示器；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9.USB接口：≥8个主板原生USB接口（含Type-C），其中原生USB 3.0接口≥7个；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10.显示接口：HDMI≥1个，VGA≥1个；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11.操作系统：麒麟/统信正版操作系统；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12.关键部件安全要求：CPU和操作系统等关键部件应当符合安全可靠测评要求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13.强制证书：节能认证、CCC认证；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14.认证：国产化率认证；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15.提供键盘鼠标。</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A02010104 台式计算机</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37</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服务器</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39"/>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架构：2U机架式软硬件一体服务器；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2.处理器：≥2*Intel Xeon Silver 4210R 10核/20线程，2.4GHz主频；</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3.内存：≥256GB DDR4 2666MHZ；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4.硬盘：1*1.92TB SATA SSD硬盘+1*8TB 7.2K转企业级SATA硬盘；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5.网络：2*10/100/1000网卡，RJ45接口；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6.I/O：≥3个PCI-E扩展插槽，2个USB端口，1个VGA端口；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7.电源：冗余电源；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8.支持IPMI2.0，对外提供1个100/1000 Mbps RJ45管理网口，支持远程管理；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9.平台集成远程维护，可通过WEB管理台上的控制台直接进入服务器底层操作系统，实现底层系统编辑和维护；</w:t>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云平台及工作站授权</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40"/>
              </w:num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管理员可通过WEB页面进行终端和桌面的管理；</w:t>
            </w:r>
            <w:r>
              <w:rPr>
                <w:rFonts w:hint="eastAsia" w:ascii="宋体" w:hAnsi="宋体" w:eastAsia="宋体" w:cs="宋体"/>
                <w:color w:val="000000"/>
                <w:sz w:val="21"/>
                <w:szCs w:val="21"/>
                <w:highlight w:val="none"/>
                <w14:ligatures w14:val="standardContextual"/>
              </w:rPr>
              <w:br/>
            </w:r>
            <w:r>
              <w:rPr>
                <w:rFonts w:hint="eastAsia" w:ascii="宋体" w:hAnsi="宋体" w:eastAsia="宋体" w:cs="宋体"/>
                <w:color w:val="000000"/>
                <w:sz w:val="21"/>
                <w:szCs w:val="21"/>
                <w:highlight w:val="none"/>
                <w14:ligatures w14:val="standardContextual"/>
              </w:rPr>
              <w:t xml:space="preserve">2.支持跨区域部署管理和资源分析，包括教室、终端及终端状态；</w:t>
            </w:r>
            <w:r>
              <w:rPr>
                <w:rFonts w:hint="eastAsia" w:ascii="宋体" w:hAnsi="宋体" w:eastAsia="宋体" w:cs="宋体"/>
                <w:color w:val="000000"/>
                <w:sz w:val="21"/>
                <w:szCs w:val="21"/>
                <w:highlight w:val="none"/>
                <w14:ligatures w14:val="standardContextual"/>
              </w:rPr>
              <w:br/>
            </w:r>
            <w:r>
              <w:rPr>
                <w:rFonts w:hint="eastAsia" w:ascii="宋体" w:hAnsi="宋体" w:eastAsia="宋体" w:cs="宋体"/>
                <w:color w:val="000000"/>
                <w:sz w:val="21"/>
                <w:szCs w:val="21"/>
                <w:highlight w:val="none"/>
                <w14:ligatures w14:val="standardContextual"/>
              </w:rPr>
              <w:t xml:space="preserve">3.能够根据需要选择使用windows或linux模板，下发响应系统，支持自定义、还原、更新，投标文件中提供本条功能截图证明；</w:t>
            </w:r>
            <w:r>
              <w:rPr>
                <w:rFonts w:hint="eastAsia" w:ascii="宋体" w:hAnsi="宋体" w:eastAsia="宋体" w:cs="宋体"/>
                <w:color w:val="000000"/>
                <w:sz w:val="21"/>
                <w:szCs w:val="21"/>
                <w:highlight w:val="none"/>
                <w14:ligatures w14:val="standardContextual"/>
              </w:rPr>
              <w:br/>
            </w:r>
            <w:r>
              <w:rPr>
                <w:rFonts w:hint="eastAsia" w:ascii="宋体" w:hAnsi="宋体" w:eastAsia="宋体" w:cs="宋体"/>
                <w:color w:val="000000"/>
                <w:sz w:val="21"/>
                <w:szCs w:val="21"/>
                <w:highlight w:val="none"/>
                <w14:ligatures w14:val="standardContextual"/>
              </w:rPr>
              <w:t xml:space="preserve">4.支持设定数据盘，支持屏幕水印，支持自定义显示内容；</w:t>
            </w:r>
            <w:r/>
          </w:p>
          <w:p>
            <w:pPr>
              <w:numPr>
                <w:ilvl w:val="0"/>
                <w:numId w:val="41"/>
              </w:num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支持批量部署，可根据教学、考试等不同应用场景快速创建多套教学模板，并可实时回收；</w:t>
            </w:r>
            <w:r>
              <w:rPr>
                <w:rFonts w:hint="eastAsia" w:ascii="宋体" w:hAnsi="宋体" w:eastAsia="宋体" w:cs="宋体"/>
                <w:color w:val="000000"/>
                <w:sz w:val="21"/>
                <w:szCs w:val="21"/>
                <w:highlight w:val="none"/>
                <w14:ligatures w14:val="standardContextual"/>
              </w:rPr>
              <w:br/>
            </w:r>
            <w:r>
              <w:rPr>
                <w:rFonts w:hint="eastAsia" w:ascii="宋体" w:hAnsi="宋体" w:eastAsia="宋体" w:cs="宋体"/>
                <w:color w:val="000000"/>
                <w:sz w:val="21"/>
                <w:szCs w:val="21"/>
                <w:highlight w:val="none"/>
                <w14:ligatures w14:val="standardContextual"/>
              </w:rPr>
              <w:t xml:space="preserve">6.支持硬件虚拟化，支持消息发布，支持模板分享编辑； </w:t>
            </w:r>
            <w:r>
              <w:rPr>
                <w:rFonts w:hint="eastAsia" w:ascii="宋体" w:hAnsi="宋体" w:eastAsia="宋体" w:cs="宋体"/>
                <w:color w:val="000000"/>
                <w:sz w:val="21"/>
                <w:szCs w:val="21"/>
                <w:highlight w:val="none"/>
                <w14:ligatures w14:val="standardContextual"/>
              </w:rPr>
              <w:br/>
            </w:r>
            <w:r>
              <w:rPr>
                <w:rFonts w:hint="eastAsia" w:ascii="宋体" w:hAnsi="宋体" w:eastAsia="宋体" w:cs="宋体"/>
                <w:color w:val="000000"/>
                <w:sz w:val="21"/>
                <w:szCs w:val="21"/>
                <w:highlight w:val="none"/>
                <w14:ligatures w14:val="standardContextual"/>
              </w:rPr>
              <w:t xml:space="preserve">7.提供系统检测功能，显示终端状态，根据需要生成检测报告；  </w:t>
            </w:r>
            <w:r>
              <w:rPr>
                <w:rFonts w:hint="eastAsia" w:ascii="宋体" w:hAnsi="宋体" w:eastAsia="宋体" w:cs="宋体"/>
                <w:color w:val="000000"/>
                <w:sz w:val="21"/>
                <w:szCs w:val="21"/>
                <w:highlight w:val="none"/>
                <w14:ligatures w14:val="standardContextual"/>
              </w:rPr>
              <w:br/>
            </w:r>
            <w:r>
              <w:rPr>
                <w:rFonts w:hint="eastAsia" w:ascii="宋体" w:hAnsi="宋体" w:eastAsia="宋体" w:cs="宋体"/>
                <w:color w:val="000000"/>
                <w:sz w:val="21"/>
                <w:szCs w:val="21"/>
                <w:highlight w:val="none"/>
                <w14:ligatures w14:val="standardContextual"/>
              </w:rPr>
              <w:t xml:space="preserve">8.可设定运行计划，自定义开关机时间；</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14:ligatures w14:val="standardContextual"/>
              </w:rPr>
              <w:t xml:space="preserve">9.支持筛选编辑课程表，支持数据传输，支持镜像分发；</w:t>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点</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37</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实训室管理软件</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1.实现一个安装包即可安装好学生机和教师机，与云桌面平台同一体系，满足以下教学功能；</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2.支持学生机管理，可隐藏“网上邻居”，禁用“显示”控制面板，隐藏桌面上所有程序项；</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3.支持班级管理，可将频道和班级进行绑定，用于不同的教室登录不同的频道进行上课；</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4.支持屏幕广播功能，能够实现两种接收模式，包括学生全屏/窗口模式接收教师机广播的画面，全屏状态锁定学生鼠标和键盘；</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5.屏幕广播状态下，教师可开启实时语音，学生端可以通过耳机接听教师语音，同时支持屏幕笔功能，教师可通过屏幕笔将屏幕当作画板进行绘制，便于教学互动；</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6.屏幕广播支持弹幕，教师机开启弹幕后，教师机和学生机可发送弹幕信息，便于及时交流、增强教学互动性；</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7.屏幕广播功能：支持笔记截屏，教师机开启笔记截屏后，全屏广播时学生机可一键截取屏幕，保存上课重点信息；</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8.在屏幕广播之后连接上来的终端可直接接收屏幕广播内容，用户终端关闭虚拟桌面仍可同步广播教师机屏幕和视频，不会中断教学；</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9.教师可选定一个学生操作本机或操作教师机进行教学演练，并将该学生演练的画面广播给每一个学生，同时被广播的学生将全屏/窗口接收演练学生的画面，全屏状态键盘和鼠标被锁定；</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10.支持遥控监看，教师可实时监看学生端的学生桌面，并可远程遥控学生端桌面，支持单屏控制和全屏控制；</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11.教师机可以连续监看所选学生机屏幕，每屏可监视多个学生，可设置每屏学生机的数量以及学生机屏幕轮循的时间间隔；</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12.支持电子白板功能，能够在屏幕广播时实现注解讲解、注释，辅助教学；</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13.黑屏肃静功能：教师可以对单一、部分、全体学生执行黑屏，能够自定义提示信息并禁止学生进行操作，支持手动解锁、按时解锁、锁定时长三种模式，时间设定精确到秒级；</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14.支持教师机对所有学生机通过电子教学软件统一进行统一的切换或者部分机器系统切换；</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15.提供行为管控模块，支持程序黑白名单限制，支持禁用外网，禁用USB设备，教师端主界面可展示USB设备、程序、网络禁用状态；</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16.考试功能：包括试题编辑、下发试卷、考试监控、成绩统计；可添加单选题、多选题、判断题、填空题、问答题；可设置考试时长，倒计时结束后自动结束考试；阅卷时，单选题、多选题、判断题支持自动评分和统计正确率；</w:t>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智慧黑板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一、整机设计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1.整机采用全金属外壳，三拼接平面一体化设计，屏幕边缘采用圆角包边防护，整机背板采用金属材质。整机背板采用金属材质，有效屏蔽内部电路器件辐射；防潮耐盐雾蚀锈，适应多种教学环境。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2.整体外观尺寸：宽≥4200mm，高≥1200mm，厚≤120mm。主屏支持普通粉笔直接书写。整机两侧副屏可支持以下媒介（普通粉笔、液体粉笔、成膜笔）进行板书书写。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3.屏幕采用86英寸液晶面板；一体化设计；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4.显示比例16:9，分辨率3840*2160；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5.最大屏幕亮度≥300cd/m²；</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二、整机设计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1.具备前置物理按键；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2.支持在节能状态下通过长按电源键进入还原界面，可点击屏幕选择安卓系统还原、OPS还原以及正常启动选项，还原操作时需通过密码验证，有效避免误操作；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3.3路USB输入接口（包含1路Type-C、2路USB），前置USB接口支持Android、Windows双系统读取外接移动存储设备；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4.摄像头拍摄像素数≥1300万；摄像头可用于远程巡课、二维码扫描等功能；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5.内置阵列麦克风；麦克风拾音距离≥10米；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6.内置2.2声道音响系统，整机扩声系统总功率不低于60W；</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7.整机内置的蓝牙及Wi-Fi模块支持便捷拆除及恢复，确保特殊应用场景下的信息安全；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8.Wi-Fi制式支持IEEE802.11 a/b/g/n/ac/ax；支持Wi-Fi6；</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9.内置高清摄像头，摄像头与整机一体化设计，无任何可见外接线材及模块化拼接痕迹，未占用整机设备端口；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10.整机前置接口具备防撞防尘挡板设计，挡板采用转轴式翻转。防止接口在连接外接设备使用时与推拉黑板产生碰撞，造成设备损坏，同时有效避免粉尘堵塞接口；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11.整机侧置输入接口具备2路HDMI、1路RS232、1路USB、1路RJ45接口，整机侧置输出接口具备1路音频输出、1路触控USB输出，所有接口具备明显的丝印标识；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三、触控系统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采用红外触控技术，支持Windows、Android系统中20点或以上触控；触摸响应时间≤4ms；</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四、电脑模块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1.通用标准80pin接口，即插即用；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2.主板：CPU i5；内存：≥8GB DDR4；硬盘：256GB SSD或以上；</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3.机身采用智能风扇低噪音散热设计，确保封闭空间内有效散热；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4.PC模块可抽拉式插入整机，可实现无单独接线的插拔；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5.采用手拧螺丝卡扣，确保PC模块安装固定到位，同时无需工具就可快速拆卸电脑模；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6.具有独立非外扩展的视频输出接口：≥1路HDMI，≥1路DP；</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7.具有独立非外扩展的电脑USB接口：≥3路USB3.0，≥1路USB2.0；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8.具有PC防盗锁功能，确保电脑模块安全防盗；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五、内置软件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（一）教学软件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1.支持老师个人账号注册登录使用，支持课件云存储，无需使用 U 盘等存储设备，老师只需联网登录即可获取云课件。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2.支持课件云同步，课件上的所有修改、操作均可实时同步至云端，无需单独保存上传，确保多终端调用同一个课件均为最新版本。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3.支持用户在软件中打开pptx格式文件，且用户可在软件中自由编辑原文件中的图片、文字、表格等元素，并支持修改原文件中的动画。方便老师利用软件互动功能在原有 PPT 基础上修改课件。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4.基础图形：支持直线、箭头、正方形、圆角四边形、平行四边形、圆形、 等腰三角形、直角三角形、菱形、梯形、五边形等基本图形绘制。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5.高级图形：支持对话框、五角星、大括号、旗子等特殊图形绘制，同时支持自定义绘制复杂的任意多边形及曲边图形。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6.图形编辑：支持对图形对象进行颜色、边框、阴影、倒影、透明度等属性设置。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互动分类游戏：支持创建互动分类游戏，可自定义不同类别及相对应的对象，实现将不同对象拖拽到对应的类别容器中可自动辨识分类，分类正确或错误均有相应提示。类别和对象的样式、数量均可以自定义设置。系统需提供不少于10种游戏模板，直接选择并输入相应内容即可轻松生成互动分类游戏，提升课堂趣味性。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8.智能选词填空：支持创建智能选词填空游戏，教师可随意编辑填空题题干以及相应的答案选项，将选项拖到对应题干空白处，系统将自动判别答案 是否正确。系统需提供不少于 9 种游戏模板供老师选择，且模板样式支持自定义修改。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9.分组竞争游戏：支持创建分组竞争游戏，教师可设置正确项／干扰项，让两组学生开展竞争游戏。系统提供不少于 3 种难度、10 种游戏模板选择， 且模板样式支持自定义修改。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10.快捷抠图：无需借助专业图片处理软件，即可在白板软件中对导入的图片进行快捷抠图（去背景），处理后的图片主体边缘没有明显毛边，可导出保存成 PNG 格式。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11.提供覆盖小学、初中、高中的古诗词、古文资源，包含原文、翻译、背景介绍、作者介绍、朗诵音频等。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AI智能备课助手：可在备课场景中搜索课件库课件资源，具有不少于10万份课件资源，支持整份课件或按照课件页插入课件中。可按教学环节筛选对应课件页一键插入课件中，导入新课、作者简介。可按元素类型思维导图、课堂活动选取需要的部分补充课件缺失的部分。可在查看部分课件的同时查看对应整份课件，了解作者整体教学思路。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13.支持PPT原生解析，教师可将pptx格式的课件转化为互动教学课件。支持单份导入和批量文件夹导入两种导入方式。导入后保留PPT原文件中的文字、图片、表格对象及动画的可编辑性，并可为课件增加互动教学元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14.具备云教案模块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（1）云教案可自动同步至云空间。可以链接方式进行定向式分享和开放式分享。接收者可直接在桌面浏览器、微信内打开预览，可将云教案转存至个人云空间。云教案支持导出为PDF格式。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（2）能将Word文档转换为云教案，支持解析文本、表格通用元素。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（3）云教案能够插入表格、图片、音视频、文档附件。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15.多学科题库模块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提供涵盖初中、高中的总知识点不少于4000个，试题数量不少于20万道试题，中学题库需包含语文、数学、英语、物理、化学、生物、政治、历史、地理等多个学科，包含选择、填空、判断、诗歌阅读、完形填空、阅读理解、辨析题、材料题、实验题、作图题等丰富题型。可批量选择试题以交互试题卡的形式插入课件。试题卡包含题干、答案和解析，并可一键展开收起答案和解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（2）支持多种格式的试题批量上传，包含doc、docx、png、jpeg、jpg类型。可自动转换为电子试题，实现老师对试题的收集使用和作业布置。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15.空中课堂模块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（1）空中课堂功能内置于交互式备授课软件中，无需安装部署直播软件，可实现语音直播、课件同步、互动工具远程教学功能；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（2）支持一键开课生成课程海报，学生扫描课程海报微信二维码可加入直播课堂，不需安装APP。</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（3）支持学生在直播课堂打字提问、互动，学生提问内容实时传递至教师。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（4）支持教师根据讲解内容发布答题板供学生选择作答，学生提交答案后系统会自动统计正确率和答题详情。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（5）在直播课堂中，支持教师指定授权学生远程互动，学生能在直播的课件画面进行书写、移动、擦除、参与互动活动，学生操作过程实时同步至班级其他学生。支持5位学生同时参与远程互动；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16.作业题库模块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（1）支持选择题、填空题、判断题、解答题四种类型题目的创建。支持匹配知识点，设定题目难度。能够用于练习任务，在线小测和客观题自动批改。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（2）支持以word文件格式导入习题，导入后能对照修改、实时预览，题目可挂靠解析和知识点，可添加题目使用备注。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（3）被校内老师布置过的习题能通过作业报告的形式展示布置次数、历史作答正确率，老师可以判断该题的难度和学生掌握情况。</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17.教研中心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（1）校本资源库：支持实现校本资源共建共享。可上传课件、教案、胶囊及多媒体文件；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（2）可将课件、教案和胶囊以文件的形式批量上传。支持树形结构目录，能进行资源分类及查找，支持全局资源搜索可按年级、学科筛选资源，</w:t>
            </w:r>
            <w:r>
              <w:rPr>
                <w:rFonts w:hint="eastAsia" w:ascii="宋体" w:hAnsi="宋体" w:eastAsia="宋体" w:cs="宋体"/>
                <w:color w:val="000000"/>
                <w:sz w:val="21"/>
                <w:szCs w:val="21"/>
                <w:highlight w:val="none"/>
                <w:lang w:eastAsia="zh-CN"/>
              </w:rPr>
              <w:t xml:space="preserve">支持</w:t>
            </w:r>
            <w:r>
              <w:rPr>
                <w:rFonts w:hint="eastAsia" w:ascii="宋体" w:hAnsi="宋体" w:eastAsia="宋体" w:cs="宋体"/>
                <w:color w:val="000000"/>
                <w:sz w:val="21"/>
                <w:szCs w:val="21"/>
                <w:highlight w:val="none"/>
              </w:rPr>
              <w:t xml:space="preserve">找到资源后定位到当前资源文件夹；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在交互式备授课软件中，支持获取校本多媒体资源到本地查看。可选择插入校本资源库中的多媒体资源，实现校内资源的共建共享。支持校本资源获取/下载到本地。下载记录可查看历史下载列表。能设置下载路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校本题库：可上传个人作业题库中的习题到校本题库，实现与校内老师合作共建。老师能在校本题库获取习题到个人题库。可以以教材章节目录的形式查看校本题库，也可通过习题题型和难度筛选习题。对本人上传的题目进行管理删除；</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（二）资源中心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1.采用3DwebGl技术进行研发，资源内容在云端服务器上，可在线更新资源内容，无须安装任何应用程序，可直接在教学白板软件中打开使用；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2.提供丰富的3D模型类数字素材资源，无学科使用限制，支持通过多媒体设备等多种智能终端设备的浏览器（Chrome, Firefox, Edge, Safari）访问并进行预览和操作；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3.采用三维技术将二</w:t>
            </w:r>
            <w:r>
              <w:rPr>
                <w:rFonts w:hint="eastAsia" w:ascii="宋体" w:hAnsi="宋体" w:eastAsia="宋体" w:cs="宋体"/>
                <w:color w:val="000000"/>
                <w:sz w:val="21"/>
                <w:szCs w:val="21"/>
                <w:highlight w:val="none"/>
              </w:rPr>
              <w:t xml:space="preserve">维图片素材立体可视化呈现，资源至少需覆盖远古动物、脊椎动物、无脊椎动物、植物、微生物、生物探秘、地理物质、宇宙星球、生活用品、交通大全、体育运动、文化艺术十二大类别；子分类至少需涵盖恐龙、其他远古生物、软体动物、节肢动物、腔肠动物、棘皮动物、鱼类、两栖类、爬行类、鸟类、哺乳类、裸子植物、被子植物、细菌、真菌、病毒、矿物、岩石、化石、行星、视觉艺术、表演艺术、美食、文化、器官、组织、生长发育、文物、建筑、服装、球类运动、厨卫用品、家具用品、陆地交通工具、水运交通工具、航空交通工具等36个子内容领域知识点模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知识点模型数量≥1000个，模型品种丰富，覆盖面广，可适用多门学科，根据模型特性进行分类，其中远古生物数量≥29个；脊椎动物数量≥215个；无脊椎动物数量≥58个；植物数量≥200个；生物探秘数量≥80个；地理物质≥49个；体育运动≥20个；生活用品≥95个，文化艺术≥175个；</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多媒体讲台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1.产品尺寸L*W*H（mm）：1100*650*1100mm(±5mm) ；桌面离地高度：900mm(±5mm)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2.钢木结合，讲桌上下层钣金采用1.0—2.0mm冷轧钢板。钣金零件全部通过酸洗磷化喷涂后再进行高温烘烤。</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整体采用环抱式设计，前面采用前倾式结构设计。讲桌采用上下分层设计，上层围边采用厚18mm的高厚度木质材料，学生端拐角处通过钣金连接固定，倒角R50。结合处无明显缝隙设计工艺；下层中间门可垂直上提打开，通过一把锁锁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布局设计：桌面左侧设计放置21.5寸触控显示器装置，仰角为26°；采用高精度阻尼转轴的角度调节机构，可在0~30°的观看范围精准手动调控，实现平稳顺滑调节，并具备可靠的锁定功能，任意角度可实现稳固锁定，无晃动现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5.设计一个抽屉可放置教学教具使用，抽屉采用三节加厚钢珠静音导轨，材料厚度为1.2mm，导轨符合GB/T 10125-2021《人造气氛腐蚀试验 盐雾试验》、GB/T 6461-2002《金属基体上金属和其他无机覆盖层经腐蚀试验后的试样和试件的评级》检测要求，保护评级为RA十级；</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6.讲台配有直径≥80mmABS材料的水杯架，深度≥80mm，呈喇叭状，方便放水杯；底部有孔；可旋转角度≥90度，隐藏式安装。1个弹簧式挂钩；</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7.智能讲桌集成USB HUB功能，提供7口USB接入。提供外接输入端口：USB*1，HDMI*1，RJ45网口*2，电源输入接口*1，RS232接口*1。</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8.机柜：钣金机柜设计，机柜的安装空间≥12U。</w:t>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直播桌椅</w:t>
            </w:r>
            <w:r/>
          </w:p>
        </w:tc>
        <w:tc>
          <w:tcPr>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1.规格参考：≥130*60*75cm；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2.主体可采用钢木结构，面板为高厚度生态板，厚度≥3mm；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3.颜色总体要求与周围环境协调，简洁大方、结实牢固、美观实用；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4.主播椅，可升降、可旋转。</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智能直播摄像机</w:t>
            </w:r>
            <w:r/>
          </w:p>
        </w:tc>
        <w:tc>
          <w:tcPr>
            <w:shd w:val="clear" w:color="auto" w:fill="ffffff"/>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1.分辨率：支持1080P60FPS、1080P50FPS、1080P30FPS、720P60FPS、720P50FPS等；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2.传感器：1/2.8英寸CMOS；有效像素≥ 200万；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3.镜头：12x、f=3.5mm-42.3mm，F1.8-F2.8，最低照度0.5LUX@(F1.8.AGCON</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，快门：≥1/30s、≤1/10000s；</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4.支持白平衡自动、室内、室外、一键式手动、指定色温、背光补偿；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5.数字降噪 20&amp;3D数字降噪；信噪比≥55dB；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6.支持水平/垂直翻转，图像冻结预置位数量≥250</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直播三角支架</w:t>
            </w:r>
            <w:r/>
          </w:p>
        </w:tc>
        <w:tc>
          <w:tcPr>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1.落地架，可伸缩范围56—180cm；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2.包含三个万向软管机位；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3.带话筒夹；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4.可伸缩、可折叠、轻巧便捷。</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智能直播一体机</w:t>
            </w:r>
            <w:r/>
          </w:p>
        </w:tc>
        <w:tc>
          <w:tcPr>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1.HDMI输入≥2；3.5mm音频输入接口≥2；3.5mm音频输出接口≥1，USB HOST接口≥2：支持USB摄像头/采集卡/支持鼠标/键盘USB 3.0；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2.SIM卡槽：支持NanoSIM卡，4G无线通信，4G全网通；</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3.CPU：≥高通骁龙8代8核处理器，存储：≥8GB；功耗：≤80W,</w:t>
            </w:r>
            <w:r>
              <w:rPr>
                <w:rFonts w:hint="eastAsia" w:ascii="宋体" w:hAnsi="宋体" w:eastAsia="宋体" w:cs="宋体"/>
                <w:color w:val="000000"/>
                <w:sz w:val="21"/>
                <w:szCs w:val="21"/>
                <w:highlight w:val="none"/>
                <w:lang w:eastAsia="zh-CN"/>
              </w:rPr>
              <w:t xml:space="preserve">Wi-Fi</w:t>
            </w:r>
            <w:r>
              <w:rPr>
                <w:rFonts w:hint="eastAsia" w:ascii="宋体" w:hAnsi="宋体" w:eastAsia="宋体" w:cs="宋体"/>
                <w:color w:val="000000"/>
                <w:sz w:val="21"/>
                <w:szCs w:val="21"/>
                <w:highlight w:val="none"/>
              </w:rPr>
              <w:t xml:space="preserve">：支持2.4G/5G双频段；支持千兆网口；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4.液晶电容触屏：≥43寸，分辨率≥1920*1080</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直播软件</w:t>
            </w:r>
            <w:r/>
          </w:p>
        </w:tc>
        <w:tc>
          <w:tcPr>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1.支持淘宝、抖音、快手、微信、拼多多、小红书等主流直播平台的下载，快速一键开播；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2.支持内置拓展私域直播APP，无须设置推流地址，一键即可开播；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3.支持提词器功能，可通过小程序和网页端访问素材库上传提词，提词类型支持PDF、PPTX、PPT、PNG、JPG、纯文字等多种格式；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4.支持自定义拖拽提词器显示范围大小，任意拖动提词器显示位置，支持文字滚动，调节文字滚动速度、文字大小、文字颜色、背景透明度；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5.支持画质（码率）设置，可选择、原画、蓝光、高清、平台原始码率（不控制）多种模式，对直播平台的码率进行控制；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6.支持数据查看功能，一键打开抖音巨量引擎，快手小店、淘宝直播的商家后台进行数据查看；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7.支持音乐功能，通过本地磁盘、U盘进行添加音乐，以及云端网页上传音乐，包含氛围音效以及背景音乐两种分类的音乐素材，内置音乐软件，可将音乐软件播放的音频作为直播背景音乐；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8.支持直播间贴片功能，通过本地磁盘、U盘进行添加图片贴片，以及云端小程序、云端网页上传，通过账号进行同步图片贴片；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9.支持直播间背景功能，可通过本地磁盘、U盘进行添加背景，以及云端小程序、云端网页上传背景，通过账号进行同步图片背景、视频背景、文档背景，可对背景自适应功能设置；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10.支持画面导播功能，可控制2路HDMI、1路SUB信号特写镜头画面，1路图片集、1路视频集、1路文档集、3路手机远程投屏、1路局域网手机投屏、1路组合源画面；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11.支持组合源设置，实现画中画、两分屏、三分屏效果；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12.支持一键绿幕/蓝幕抠像，可对绿幕/蓝幕抠像中的具体参数值自定义调节；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13.支持抠像自定义取色功能，支持吸取导播画面中的任意颜色，实现对已选中颜色精准抠像功能；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14.支持图像编辑功能，可对接入画面进行旋转、翻转、裁切、缩放进行设置；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15.支持画面校准功能，可通过上传LUT文件校准画面的白平衡/色温等；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16.支持调音功能，可调节音频增益以及音频源控制，且支持音量条音波图随输入输出音量大小实时波动，可对多路输入音频进行混音；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17.支持分发推流直播功能，通过填写推流地址，一键实现两平台同步直播；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18.支持本地录制，可实现对直播分段或连续录制，录制可手动开启或关闭，自动生成MP4格式视频文件；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19.支持操作引导功能，点击全局引导将进入整体布局引导界面，点击功能引导选择对应功能进入引导界面；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20.支持手机APP控制功能，实现提词器控制、直播间设置（背景和贴片以及音乐）、视频源选择设置、远程投屏、局域网投屏功能；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21.支持与PC网页端远程协作，网页端控制提词脚本及发送导播提示文字</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直播麦克风</w:t>
            </w:r>
            <w:r/>
          </w:p>
        </w:tc>
        <w:tc>
          <w:tcPr>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1.具有高信噪比麦克风单元的发射器和一个单声道接收器。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2.支持无线传输数字音频信号，以高清晰和低噪音的特性记录单人语音。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3.发射器内置高信噪比（S/N）的麦克风单元，可记录清晰且低噪声的声音。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4.连接到支持Mi热靴的相机，可直接传输接收器输出的数字音频信号至相机，降低噪声干扰，实现高质量的声音录制。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5.采用蓝牙5.3（低功耗蓝牙）和LC3+*2编码，具有低功耗、低延迟和高音质的特性。在开阔且无遮挡场景下，最远通信距离约150米*3。优秀的功耗也带来了更好的体积控制。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6.接收器端可通过USB Type-C接口连接智能手机或个人电脑及其他兼容USB音频输入的设备*5进行录制。输出高品质的数字音频信号（48 kHz/24bit）。</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直播调音台</w:t>
            </w:r>
            <w:r/>
          </w:p>
        </w:tc>
        <w:tc>
          <w:tcPr>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1.≥4路XLR平衡单声通道输入+1组立体声输入通道；</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2.每通道带2段均衡调节，METE静音开关，45MM平滑推子衰减器；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3.1组立体声母线，2组AUX母线输出（包括FX），1组监听；</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4.内置+48V幻象电源供电，具有无噪声、电耗低的特性；</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5.16种DSP数字效果器；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6.USB音频播放MP3；USB直插录音；内置蓝牙接收播放；</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7.LED显示屏清晰显示播放状态；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8.八段三色精准电平灯显示信号；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9.XLR平衡输入话放噪声极低，超低噪音线路设计，动态余量大。</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补光灯套装（人物）</w:t>
            </w:r>
            <w:r/>
          </w:p>
        </w:tc>
        <w:tc>
          <w:tcPr>
            <w:shd w:val="clear" w:color="auto" w:fill="ffffff"/>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1.直播摄影主光源，灯珠功率：≥300W；</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2.光通量：≥16500流明；显色指数：RA≥96；TLCI指数：≥96；色温：2700-6500k；</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3.控制方式：远程遥控、手动；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4.散热方式：主动散热；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5.柔光箱：保荣接口，≥90CM深口抛物线柔光箱；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6.支架：直径：≥40CM，高度：≥280CM。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补光灯套装（环境）</w:t>
            </w:r>
            <w:r/>
          </w:p>
        </w:tc>
        <w:tc>
          <w:tcPr>
            <w:shd w:val="clear" w:color="auto" w:fill="ffffff"/>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1.直播摄影主光源，灯珠功率：≥300W；</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2.光通量：≥16500流明；显色指数：RA≥96：TLCI指数：≥96；色温：2700-6500k；</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3.控制方式：远程遥控、手动；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4.散热方式：主动散热；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5.柔光箱：保荣接口，≥65CM球形柔光箱；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6.支架：直径：≥40CM，高度：≥280CM。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环形补光灯</w:t>
            </w:r>
            <w:r/>
          </w:p>
        </w:tc>
        <w:tc>
          <w:tcPr>
            <w:shd w:val="clear" w:color="auto" w:fill="ffffff"/>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1.三机位落地桌面两用，带落地支架；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2.灯珠：≥600颗；色温范围：3200—6500K；</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3.多功能灯光模式，可调光；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（1）记忆功能，－键开启，无需反复调节；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（2）冷暖光爆闪模式，开启炫光舞台效果，更炫酷；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（3）亮度/冷暖光固定模式，方便调节。</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直播背景幕</w:t>
            </w:r>
            <w:r/>
          </w:p>
        </w:tc>
        <w:tc>
          <w:tcPr>
            <w:tcBorders>
              <w:top w:val="single" w:color="000000" w:sz="4" w:space="0"/>
              <w:left w:val="non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1.用于虚拟背景直播；</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2.卷轴式绿幕/蓝幕；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3.地拉式，≥2.5*2.5m。</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一体式直播间定制</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1.根据现场尺寸，结合设计方案和技术文件定制；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2.采用铝合金+钢化玻璃为框架；默认到顶；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3.包含钢化玻璃门、含门锁、把手等优质五金件；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4.窗帘采用百叶窗帘</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间</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多媒体音响系统</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一、音箱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1.单元组成：低音：≥6.5英寸低音；高音：≥3英寸高音；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2.频率响应（±3dB）：70Hz-17KHz；（±10dB）：60Hz-18KHz；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3.覆盖角度：≥90度（H</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×60度（V）；标准阻抗：8Ω；灵敏度（1W/1m）：≥95dB/1W 1米；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4.连续声压级：≥116dB；峰值声压级：≥122dB；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5.输入功率：≥120W（额定）/480W（峰值）；</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二、功放单元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1、频率响应： 20Hz～16kHz；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2、INPUT输入阻抗： 20kΩ；LINEIN输入阻抗： 10kΩ；输出阻抗： 100R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3、环境噪声消除： ≤30dB；无线输入降噪： ≤30dB；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4、增益调节范围：-43dB～59dB；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5、总谐波失真（THD+N）： ≤0.3%(Vo = 2Vrms, f = 1kHz</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6、信噪比（S/N）： 80dBA( 20Hz～16kHz，A计权</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7、最大输入电平：6dBu；最大输出电平：12dBu；</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8、保护电路：ESD ±6kV(contact)±8kV (air) 、雷击保护、电源反接保护；</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9、输入接口：2×凤凰接口差分输入，2×凤凰接口线性输入；输出接口：4×凤凰接口单端输出，2×水晶头功放输出；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10、电源接口：1×12V DC圆孔插座；网络接口： 10Base-T/100Base-TX；控制接口：1×RS485；</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三、扩音单元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1、本地音频输出设备；频率范围：60Hz-20kHz；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2、较大输入电压：25.3V PMS（2小时），50.6V；</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3、峰值灵敏度：90dB，1W/1m(100Hz-KHz</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4、覆盖角度：100°×100°；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5、指向性指数：7.6dB(1kHz-16kHz</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6、额定阻抗：8ohms（直通）；</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7、低频单元：135mm（5.25寸）；</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8、高频单元：19mm。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三、无线话筒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1.自带无线手持麦充电座，多用途智能扩声；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2.教室与教室之间保证互不干扰，无论多少个教室安装，同时使用都不会有串频和干扰现象；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3.红外麦克风在不同教室之间使用，无需对频，即开即用，简单方便。</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数码微单套机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全画幅微单（E卡口）｜≥3300万像素，部分堆栈式CMOS｜BIONZ XR2处理器（内置AI）；｜≥750点相位对焦｜≥30张/秒高速连拍；套机镜头：FE 24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105mm F4 G OSS（恒定光圈+光学防抖）；≥256G 高速存储卡2张</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采集卡</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42"/>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视频输入：4 路 HDMI 2.0，单路支持 4K60 输入，采集最高 1080p60；</w:t>
            </w:r>
            <w:r/>
          </w:p>
          <w:p>
            <w:pPr>
              <w:numPr>
                <w:ilvl w:val="0"/>
                <w:numId w:val="42"/>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色彩与编码</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支持 RGB24、YUV422，硬件去隔行、3D 降噪，兼容 HDCP；3.音频采集4 路 HDMI 内嵌音频 + 3.5mm 线性输入，PCM 48kHz 立体声；</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4.主机接口</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雷电 3（40Gb/s），兼容 Windows/Mac/Linux</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三脚架</w:t>
            </w:r>
            <w:r>
              <w:rPr>
                <w:rFonts w:hint="eastAsia" w:ascii="宋体" w:hAnsi="宋体" w:eastAsia="宋体" w:cs="宋体"/>
                <w:color w:val="000000"/>
                <w:sz w:val="21"/>
                <w:szCs w:val="21"/>
                <w:highlight w:val="none"/>
              </w:rPr>
              <w:t xml:space="preserve"> + 手柄云台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材质：碳纤维脚管</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高密度增容型无线路由</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1.智能双频段企业级无线路由；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2.频率范围：双频段，信号更强：含2.4GHz频段和5GHz频段；</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3.传输速率：≥1200M，稳定的千兆无线路由；</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4.网络接口：≥5个10/100/1000Mbps千兆端口，可带动≥100台网络终端；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5.天线数量：4根天线；天线增益：5dBi；</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6.智慧功能：微信连wifi/防火墙/上网行为管理/VPN/一键拉黑。</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千兆网络交换机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1.机身固化10/100/1000M以太网电接口≥26个，固化SFP千兆光接口≥2个，固化SFP+万兆光接口≥2个，交流电源≥1个；</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2.支持Console口（RJ45）、带外管理口（RJ45）、USB接口、Reset键；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3.交换容量≥5.98Tbps，包转发率≥252Mpps；设备1U高，深度≤242mm；满负荷情况下功耗≤26W；支持静态路由、RIPV1/2、RIPng、OSPF、OSPFv3、IS-IS、IS-ISv6、BGP、BGP4+、ECMP、路由策略；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功能：（1）端口支持8KV防雷；（2）支持OpenFlow1.3功能；（3）支持能效以太网（802.3azEEE）、sFlow和以太网OAM；（4）端口LED灯自动节能功能；（5）设备断电告警；CPU镜像；ARP自动防御；安全防护特性（防DOS攻击，CPU安全防护）；支持动态ARP检测。</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储存收纳柜定制</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1.现场定制；用于物品储存、收纳、展示等；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2.参考规格：≥35（W）*250（H）cm；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3.整体要求：现代简约风格、美观实用；主色系默认原木，特殊要求除外；整体造型和颜色搭配与空间环境协调；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4.材质：优质环保免漆木工板或刨花板为基材，优质五金件；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5.格子设置的尺寸大小能</w:t>
            </w:r>
            <w:r>
              <w:rPr>
                <w:rFonts w:hint="eastAsia" w:ascii="宋体" w:hAnsi="宋体" w:eastAsia="宋体" w:cs="宋体"/>
                <w:color w:val="000000"/>
                <w:sz w:val="21"/>
                <w:szCs w:val="21"/>
                <w:highlight w:val="none"/>
                <w:lang w:eastAsia="zh-CN"/>
              </w:rPr>
              <w:t xml:space="preserve">照顾</w:t>
            </w:r>
            <w:r>
              <w:rPr>
                <w:rFonts w:hint="eastAsia" w:ascii="宋体" w:hAnsi="宋体" w:eastAsia="宋体" w:cs="宋体"/>
                <w:color w:val="000000"/>
                <w:sz w:val="21"/>
                <w:szCs w:val="21"/>
                <w:highlight w:val="none"/>
              </w:rPr>
              <w:t xml:space="preserve">实际使用需求。</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米</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网络机柜</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1.可安装主机、服务器、切换器、交换机等；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2.参考尺寸：宽深高600×1000×1050mm；≥19U；</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3.立柱间距≥480mm；立柱厚度≥2mm；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4.风扇*1；托盘*1；脚轮*4；前后门*1；侧门*2；电源*1；</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5.优质冷轧钢板制作；脱脂、静电喷塑工艺。</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29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激光打印机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A4幅面，打印，复印，扫描功能，打印速度≥35ppm，首页输出时间≤6s，USB 2.0，≥wifi5，无线直连。</w:t>
            </w:r>
            <w:r/>
          </w:p>
          <w:p>
            <w:pPr>
              <w:jc w:val="lef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A0201060102 激光打印机</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订书机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43"/>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书钉规格24/6、26/6， 2个；</w:t>
            </w:r>
            <w:r/>
          </w:p>
          <w:p>
            <w:pPr>
              <w:numPr>
                <w:ilvl w:val="0"/>
                <w:numId w:val="43"/>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书钉规格23/13、23/17，2个</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天花吸顶空调</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1.5匹冷暖天花机、一级能效；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2.电压/频率：380V/50Hz；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3.制冷量：≥12000W；制热量：≥13600W；</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cs="宋体"/>
                <w:b/>
                <w:bCs/>
                <w:sz w:val="21"/>
                <w:szCs w:val="21"/>
                <w:highlight w:val="none"/>
                <w:lang w:val="en-US" w:eastAsia="zh-CN"/>
              </w:rPr>
              <w:t xml:space="preserve">A020523 制冷空调设备</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r>
            <w:r/>
          </w:p>
          <w:p>
            <w:pP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综合布线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1.设计部署</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（1）依据国际布线标准ISO/IEC11801:1995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E）和ANSI/TIA/EIA568A；</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（2）参照《中国建筑电气设计规范》《建筑与建筑群综合布线系统工程设计规范》；《建筑与建筑群综合布线系统工程施工及验收规范》（中国工程建设标准化协会标准）；《结构化布线系统设计总则》等；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2.总体要求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（1）一般采用暗线，在地面或墙面开挖线槽，主区线缆走地面线槽通过支管到各终端；通过桌脚钢管通往桌面，避免线头外露，确保安全美观；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（2）特别情况走明线的，须用合金或不锈钢线管包覆；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（3）插线盒一般部署在桌面或桌脚处、嵌入式。</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bookmarkStart w:id="131" w:name="OLE_LINK16"/>
            <w:r>
              <w:rPr>
                <w:rFonts w:hint="eastAsia" w:ascii="宋体" w:hAnsi="宋体" w:eastAsia="宋体" w:cs="宋体"/>
                <w:color w:val="000000"/>
                <w:sz w:val="21"/>
                <w:szCs w:val="21"/>
                <w:highlight w:val="none"/>
                <w14:ligatures w14:val="standardContextual"/>
              </w:rPr>
              <w:t xml:space="preserve">㎡</w:t>
            </w:r>
            <w:bookmarkEnd w:id="131"/>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180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基础装修改造</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44"/>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整体要求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1.对本实训室内部按施工要求进行基础装修改造，旨在营造优良和谐、美观大方的空间环境；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2.执行国家及行业相关标准，确保为信息化设备及专业设备安装部署提供基础环境；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3.主要包含：现场拆除与垃圾清运、地面装饰处理、墙面装饰处理、天花装饰处理、灯光照明等。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二、现场环境改造及修整、垃圾清运、卫生清理等：1项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1.对场地原结构和原装饰部分，根据设计规划图纸或本项目实际要求进行改造、修补、平整；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2.对所产生的建筑和装饰垃圾集中搬运、集中堆放、集中处理；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3.对空间集中进行一次全面的打扫、擦拭等卫生处理。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三、地面装饰处理：180㎡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1.材料：全钢防静电架空地板，600mm×600mm×35mm， 执行标准：GB/T 36367-2018、SJ/T 10796-2001</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2.材质要求：</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面板：优质冷轧钢板，内填高强度发泡水泥</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表面：HPL防静电防火贴面（≥0.8mm），四周导电胶条封边</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支架横梁：加厚镀锌钢制，高度可调100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150mm</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3.性能指标：</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承重：集中荷载≥300kg，均布荷载≥1200kg/㎡</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防火等级：A级不燃，环保E1级</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b/>
                <w:bCs/>
                <w:color w:val="000000"/>
                <w:sz w:val="21"/>
                <w:szCs w:val="21"/>
                <w:highlight w:val="none"/>
              </w:rPr>
              <w:t xml:space="preserve">（施工前须提供有效期内的具有CMA或CNAS标识的防静电性能检测报告、燃烧性能等级检测报告、环保与安全检测报告等证明文件）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四、天花墙面装饰处理：180㎡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1.材质：优质环保腻子粉、乳胶漆、阴阳角条；</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进场前提供腻子粉、乳胶漆环保认证证书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br/>
            </w:r>
            <w:r>
              <w:rPr>
                <w:rFonts w:hint="eastAsia" w:ascii="宋体" w:hAnsi="宋体" w:eastAsia="宋体" w:cs="宋体"/>
                <w:color w:val="000000"/>
                <w:sz w:val="21"/>
                <w:szCs w:val="21"/>
                <w:highlight w:val="none"/>
              </w:rPr>
              <w:t xml:space="preserve">2.做法：根据项目情况，综合采用原墙面批灰、腻子填充、平整、粉刷、二次粉刷；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3.结合强弱电综合布线、给排水等预制工序综合施工；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4.颜色：主体白色，根据情况色彩搭配。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五、灯光照明：180㎡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1.根据施工图或参考效果图，遵循国家和行业相关标准，综合设计采购并安装灯光照明设备；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2.功能性原则：根据不同空间、不同场合、不同应用对象选择不同的照明方式和灯具，并保证照度均匀，平均照度要求≥500Lux；</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美观性原则：采用必要的装饰照明，使用装饰灯具，采用透射、反射、折射等多种手段，并合理统筹灯光照明的造型、材料、色彩、比例、尺度，灯具等；对室内空间进行美化装饰，增加空间层次，渲染环境气氛；</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4.经济性原则：采用性价比较高的灯光照明设计方案，不仅节约灯光照明设备的购置成本，也为以后的电源消耗提供集约化保证；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5.安全性原则：照明设计安全可靠；采取严格的防触电、防短路等安全措施，以避免意外事故的发生。</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180</w:t>
            </w:r>
            <w:r/>
          </w:p>
        </w:tc>
      </w:tr>
      <w:tr>
        <w:trPr>
          <w:trHeight w:val="400"/>
        </w:trPr>
        <w:tc>
          <w:tcPr>
            <w:gridSpan w:val="5"/>
            <w:tcBorders>
              <w:top w:val="single" w:color="000000" w:sz="4" w:space="0"/>
              <w:left w:val="single" w:color="000000" w:sz="4" w:space="0"/>
              <w:bottom w:val="single" w:color="000000" w:sz="4" w:space="0"/>
              <w:right w:val="none" w:color="000000" w:sz="4" w:space="0"/>
            </w:tcBorders>
            <w:tcW w:w="9869" w:type="dxa"/>
            <w:vAlign w:val="center"/>
            <w:textDirection w:val="lrTb"/>
            <w:noWrap w:val="false"/>
          </w:tcPr>
          <w:p>
            <w:pPr>
              <w:jc w:val="left"/>
              <w:widowControl/>
              <w:rPr>
                <w:rFonts w:hint="eastAsia" w:ascii="宋体" w:hAnsi="宋体" w:eastAsia="宋体" w:cs="宋体"/>
                <w:b/>
                <w:bCs/>
                <w:color w:val="000000"/>
                <w:sz w:val="21"/>
                <w:szCs w:val="21"/>
                <w:highlight w:val="none"/>
                <w14:ligatures w14:val="standardContextual"/>
              </w:rPr>
            </w:pPr>
            <w:r>
              <w:rPr>
                <w:rFonts w:hint="eastAsia" w:ascii="宋体" w:hAnsi="宋体" w:eastAsia="宋体" w:cs="宋体"/>
                <w:b/>
                <w:bCs/>
                <w:sz w:val="21"/>
                <w:szCs w:val="21"/>
                <w:highlight w:val="none"/>
                <w14:ligatures w14:val="standardContextual"/>
              </w:rPr>
              <w:t xml:space="preserve">七、融合展示中心</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LED高清全彩显示屏</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 点间距：</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P1.86；</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2.模组尺寸（宽*高）：320mm*160mm；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3.不含边框显示尺寸（长*高）：5760mm*3040mm；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4.亮度：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800cd/㎡；</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5.LED灯封装：SMD1212；像素点组成：1R1G1B；</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6.刷新率：高刷3840Hz；扫描方式：1/52扫描；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7.峰值功率：≤600W/m²；平均功率：≤250W/㎡</w:t>
            </w:r>
            <w:r>
              <w:rPr>
                <w:rFonts w:hint="eastAsia" w:ascii="宋体" w:hAnsi="宋体" w:eastAsia="宋体" w:cs="宋体"/>
                <w:b/>
                <w:bCs/>
                <w:color w:val="000000"/>
                <w:sz w:val="21"/>
                <w:szCs w:val="21"/>
                <w:highlight w:val="none"/>
              </w:rPr>
              <w:t xml:space="preserve">（▲提供带C</w:t>
            </w:r>
            <w:r>
              <w:rPr>
                <w:rFonts w:hint="eastAsia" w:ascii="宋体" w:hAnsi="宋体" w:cs="宋体"/>
                <w:b/>
                <w:bCs/>
                <w:color w:val="000000"/>
                <w:sz w:val="21"/>
                <w:szCs w:val="21"/>
                <w:highlight w:val="none"/>
                <w:lang w:val="en-US" w:eastAsia="zh-CN"/>
              </w:rPr>
              <w:t xml:space="preserve">M</w:t>
            </w:r>
            <w:r>
              <w:rPr>
                <w:rFonts w:hint="eastAsia" w:ascii="宋体" w:hAnsi="宋体" w:eastAsia="宋体" w:cs="宋体"/>
                <w:b/>
                <w:bCs/>
                <w:color w:val="000000"/>
                <w:sz w:val="21"/>
                <w:szCs w:val="21"/>
                <w:highlight w:val="none"/>
              </w:rPr>
              <w:t xml:space="preserve">A或C</w:t>
            </w:r>
            <w:r>
              <w:rPr>
                <w:rFonts w:hint="eastAsia" w:ascii="宋体" w:hAnsi="宋体" w:cs="宋体"/>
                <w:b/>
                <w:bCs/>
                <w:color w:val="000000"/>
                <w:sz w:val="21"/>
                <w:szCs w:val="21"/>
                <w:highlight w:val="none"/>
                <w:lang w:val="en-US" w:eastAsia="zh-CN"/>
              </w:rPr>
              <w:t xml:space="preserve">N</w:t>
            </w:r>
            <w:r>
              <w:rPr>
                <w:rFonts w:hint="eastAsia" w:ascii="宋体" w:hAnsi="宋体" w:eastAsia="宋体" w:cs="宋体"/>
                <w:b/>
                <w:bCs/>
                <w:color w:val="000000"/>
                <w:sz w:val="21"/>
                <w:szCs w:val="21"/>
                <w:highlight w:val="none"/>
              </w:rPr>
              <w:t xml:space="preserve">AS标识的第三方检测报告）</w:t>
            </w:r>
            <w:r>
              <w:rPr>
                <w:rFonts w:hint="eastAsia" w:ascii="宋体" w:hAnsi="宋体" w:eastAsia="宋体" w:cs="宋体"/>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213"/>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LED高清显示屏配套</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一、视频控制器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1.输入8路，输出16路，LED整屏开2窗（一个发送卡上2个画面）支持任意开窗、叠加漫游、画中画、拼接；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2.单口输出分辨率2560*1536&amp;向下兼容（可自定义）最大不超过230万；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3.支持多套LED屏幕同时管理，支持LED显示屏和液晶拼接屏同时管理切换；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4.采用纯硬件FPGA阵列底板运算交换技术，不需要任何操作系统支持，上电即可工作，启动速度快、稳定性高，不会出现死机、黑屏现象，启动时间＜5S；</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5.采用模块化结构，系统的输入模块、输出模块、控制模块、电源模块、风扇模块均支持热插拔；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6.支持VGA、DVI、HDMI、SDI、CVBS、Ypbpr、HDMI1.4、IPV、HDBaseT、Fiber等多信号混合输入，支持VGA、DVI、HDM预监回显等信号输出；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7.所有接入的显示信号窗口均可在显示屏幕上进行任意移动、叠加、缩放、多画面等功能，也可以任意制定多种分屏、全屏、组合屏等显示方式；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8.支持EDID在线编辑控制，可在线编辑输入输出通道EDID，可加载预设EDID；</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支持任意输出通道最大同时显示4个任意格式的窗口画面，任意窗口可进行任意移动、叠加、缩放、多画面、画中画，也可拖动到其他单元上操作，互不局限和影响，支持帧同步功能，输出可自定义分辨率，支持LED屏幕拼接模式，单口输出最大可带载230W像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10.支持输出分组功能，单台设备可同时支持多个分组，单设备可应用于多套、各类型显示终端上，实现输入信号共享，简化系统结构；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11.支持信号窗口复制，单路信号复制个数没有任何限制；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12.支持底图和滚动字幕功能；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13.支持多平台控制软件，Windows/Android/IOS支持触控平台下的手势开窗、穿透控制功能；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14.支持去黑边及画面裁切画面处理；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15.支持多管理员登录模式，制定分区管理模块，分级、分权管理；不同的管理员划分的权限不同，对多个用户进行授权机制，也可以根据大屏幕不同区域设定各操作员的可操作区域，同时具有共同访问权限；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16.具有字幕标注功能，可对当前显示画面进行相应的说明，可对叠加字符的字体、字号、颜色、位置等进行编辑</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17.系统应具有流畅清晰的软预监回显功能：PC端运行的软件回显图像刷新速度＞30Hz，回显图像清晰，输入通道上其清晰度能够看清桌面字符、图片；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二、LED显示屏控制系统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1.大屏拼接控制器背板总线带宽大于360G/S3；</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2.支持设备单输出口具备32路网络或本地信号图像混合输出能力；</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3.支持双电源、双风扇冗余备份；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4.支持超低延时，信号源从采集办理入延时在70S以内；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5.支持本地信号和网络信号在信号中断时，保留上一画面最后一帧功能；</w:t>
            </w:r>
            <w:r>
              <w:rPr>
                <w:rFonts w:hint="eastAsia" w:ascii="宋体" w:hAnsi="宋体" w:eastAsia="宋体" w:cs="宋体"/>
                <w:color w:val="000000"/>
                <w:sz w:val="21"/>
                <w:szCs w:val="21"/>
                <w:highlight w:val="none"/>
              </w:rPr>
              <w:br/>
            </w:r>
            <w:r>
              <w:rPr>
                <w:rFonts w:hint="eastAsia" w:ascii="宋体" w:hAnsi="宋体" w:eastAsia="宋体" w:cs="宋体"/>
                <w:b/>
                <w:bCs/>
                <w:color w:val="000000"/>
                <w:sz w:val="21"/>
                <w:szCs w:val="21"/>
                <w:highlight w:val="none"/>
              </w:rPr>
              <w:t xml:space="preserve">★6.支持手机等移动端发布信息。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三、接收卡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1.采用12位信号处理器，最大支持红绿蓝各12位灰度；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2.单张接收卡带载像素≥768×128&amp;256*384。</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四、发送卡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1.260万像素、4网口，单网口65万像素点；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2.具有更换发送卡一键智能修复功能；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3.支持分辨率2048*1920&amp;向下兼容（可自定义最宽4096像素点，最高4096像素点）最大不超过230万，且支持自定义分辨率功能；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4.支持巡检亮度、GAMMA、位置功能，支持亮度、色度逐点校正；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5.支持USB、HID、串口、网络通讯协议，有3路串口接口可供二次开发。</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五、LED配电系统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1.LED专用电源；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2.标准配电，具备过压、过流、欠压、缺相、短路、断路保护与报警功能；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六、线材</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1.全套屏体线材，含信号线、网线、电源线、控制线、排线、指示灯、管材、一对60W音柱及一台配套功放等；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2.按需提供，具有阻燃、抗老化功能；所有线路必须为国标。</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显示屏结构架机及包边</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1.基础框架需做好防锈刷漆处理，采用国标材料；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2.材料：整体镀锌钢支撑框架+拉丝哑光不锈钢包边</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项</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笔记本电脑</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处理器： ≥i</w:t>
            </w:r>
            <w:r>
              <w:rPr>
                <w:rFonts w:hint="eastAsia" w:ascii="宋体" w:hAnsi="宋体" w:eastAsia="宋体" w:cs="宋体"/>
                <w:color w:val="000000"/>
                <w:sz w:val="21"/>
                <w:szCs w:val="21"/>
                <w:highlight w:val="none"/>
                <w:lang w:eastAsia="zh-CN"/>
              </w:rPr>
              <w:t xml:space="preserve">5</w:t>
            </w:r>
            <w:r>
              <w:rPr>
                <w:rFonts w:hint="eastAsia" w:ascii="宋体" w:hAnsi="宋体" w:cs="宋体"/>
                <w:color w:val="000000"/>
                <w:sz w:val="21"/>
                <w:szCs w:val="21"/>
                <w:highlight w:val="none"/>
                <w:lang w:val="en-US" w:eastAsia="zh-CN"/>
              </w:rPr>
              <w:t xml:space="preserve">十二</w:t>
            </w:r>
            <w:r>
              <w:rPr>
                <w:rFonts w:hint="eastAsia" w:ascii="宋体" w:hAnsi="宋体" w:eastAsia="宋体" w:cs="宋体"/>
                <w:color w:val="000000"/>
                <w:sz w:val="21"/>
                <w:szCs w:val="21"/>
                <w:highlight w:val="none"/>
              </w:rPr>
              <w:t xml:space="preserve">代 </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内存：≥16GB LPDDR4x</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存储：≥1TB NVMe PCIe SSD</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屏幕：≥16 英寸 （16:10，≥1920×1200，≥100% sRGB）</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A02010105 便携式计算机</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大厅背景墙</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一、总体要求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1.用于主题文化展示、形象信息宣达、室内美化等；现场定制；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2.参考规格：≥30平方米；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3.材质：根据项目情况选用，包括：装饰板、KT板、铝合金、亚克力、复合石材、木质等；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4.项目实施过程中确保内部走线、线盒、接口等必须隐藏不外露，安全美观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二、框架样式与内容元素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1.本项目包含文化制作以及制成品的安装实施；具体框架样式和内容元素由使用方最终确认提供；</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2.实施方须提供不少于3套文化墙框架造型样式模板供选择参考；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3.围绕空间环境主题，综合考虑整体位置、布局，营造美观大方的整体氛围；整体内容元素和颜色搭配与周围环境协调；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4.主色系默认采用鲜亮、清爽色系。</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30</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前厅服务吧台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1.参考规格：300*60*100cm；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2.总体要求：与周围环境协调，简洁大方、结实牢固、美观实用；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3.主体骨架基材为高厚度生态板等；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4.内外部走线、灯带灯条，设置需科学合理、安全隐蔽，内部空间合理；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5.装饰部分综合采用亚克力、铝合金条、艺术字、复合大理石、生态石等。</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米</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VR实训体验平台一体机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一、包含VR核心主机一台、VR自由行走空间平台一套；55寸高清液晶显示屏一台；头戴式VR虚拟现实套件一套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二、VR核心主机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1.CPU≥i7十代；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2.内存≥16GB DDR4；</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3.硬盘容量：≥1T固态硬盘；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4.显卡：独立显卡，显存≥12G GDDR6；</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5.含无线键盘、鼠标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三、VR自由行走空间平台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1.一体机科技框架，带安全护栏、出入口；虚拟行走空间、有限空间内实现无限位移及动作识别；</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2.嵌入LED彩灯；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3.五金平台、钣金工艺；磨砂黑+科技蓝；</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4.参考尺寸：直径≥200cm*200cm*230cm；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5.空间定位追踪设置：支持站姿或坐姿进行VR体验，无最小空间限制，支持进行准确的inside-out追踪定位。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四、55寸高清液晶显示屏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1.屏幕尺寸：≥55 英寸；</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2.分辨率：≥3840*2160；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3.独立控制开关，要求具备usb接口；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4.内置音响系统。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五、头戴式VR虚拟现实套件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1.屏幕类型：2 个3.4以上英寸屏幕；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2.分辨率：单眼分辨率≥1440*1700，双眼分辨率≥3K</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2880*1700）；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3.刷新率：≥90Hz；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4.视场角：≥110度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5.音频：立体声耳机；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6.输入：集成麦克风，头戴式设备按钮；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7.连接口： USB-C 3.0，DP1.2；</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8.传感器：G-sensor校正，陀螺仪，瞳距矫正；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9.人体工学设计：翻盖式面罩，可调整瞳距，可调式头带。</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10.操控手柄：传感器：G-sensor校正，陀螺仪，霍尔传感器，触摸传感器。</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881"/>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智慧康养及托幼融合虚拟仿真体验平台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auto"/>
                <w:sz w:val="21"/>
                <w:szCs w:val="21"/>
                <w:highlight w:val="none"/>
                <w:lang w:bidi="ar"/>
                <w14:ligatures w14:val="standardContextual"/>
              </w:rPr>
            </w:pPr>
            <w:r>
              <w:rPr>
                <w:rFonts w:hint="eastAsia" w:ascii="宋体" w:hAnsi="宋体" w:eastAsia="宋体" w:cs="宋体"/>
                <w:color w:val="auto"/>
                <w:sz w:val="21"/>
                <w:szCs w:val="21"/>
                <w:highlight w:val="none"/>
                <w:lang w:bidi="ar"/>
                <w14:ligatures w14:val="standardContextual"/>
              </w:rPr>
              <w:t xml:space="preserve">一、技术参数</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1.软件画面精</w:t>
            </w:r>
            <w:r>
              <w:rPr>
                <w:rFonts w:hint="eastAsia" w:ascii="宋体" w:hAnsi="宋体" w:cs="宋体"/>
                <w:color w:val="auto"/>
                <w:sz w:val="21"/>
                <w:szCs w:val="21"/>
                <w:highlight w:val="none"/>
                <w:lang w:val="en-US" w:eastAsia="zh-CN" w:bidi="ar"/>
                <w14:ligatures w14:val="standardContextual"/>
              </w:rPr>
              <w:t xml:space="preserve">度</w:t>
            </w:r>
            <w:r>
              <w:rPr>
                <w:rFonts w:hint="eastAsia" w:ascii="宋体" w:hAnsi="宋体" w:eastAsia="宋体" w:cs="宋体"/>
                <w:color w:val="auto"/>
                <w:sz w:val="21"/>
                <w:szCs w:val="21"/>
                <w:highlight w:val="none"/>
                <w:lang w:bidi="ar"/>
                <w14:ligatures w14:val="standardContextual"/>
              </w:rPr>
              <w:t xml:space="preserve">≥1K，画面帧度FPS≥72帧；</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2.软件具有身临其境的真实体验，能将听讲式被动教学模式转化为沉浸式、交互式、主动探索式新型教学体验；</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3.软件支持与虚拟世界进行互动，提升整体使用体验；</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4.软件具有提示功能，操作过程中具有相关提示；</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5.软件使用unity3d专业引擎制作功能，能够保证仿真效果。</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6.体验者跟随系统提示内容图标移动位置进行多方位实训，体验者可以第一人称视角近距离观察实训流程，可触发UI界面选择相应模块进行体验；</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7.本平台采用模块化定制整合的模式，提供不少于6个智慧康养及托幼类的虚拟仿真体验模块；</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二、平台内容</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1.配套课程资源：配套电子教案、电子课件、行业资料、教学案例、综合试题等；</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▲2.为保障内容的质量和吻合度以及后期拓展性，具体模块需至少从以下智慧养老类、现代家政类、幼托类三大场景资源中选择确定</w:t>
            </w:r>
            <w:r>
              <w:rPr>
                <w:rFonts w:hint="eastAsia" w:ascii="宋体" w:hAnsi="宋体" w:eastAsia="宋体" w:cs="宋体"/>
                <w:color w:val="auto"/>
                <w:sz w:val="21"/>
                <w:szCs w:val="21"/>
                <w:highlight w:val="none"/>
                <w:lang w:eastAsia="zh-CN" w:bidi="ar"/>
                <w14:ligatures w14:val="standardContextual"/>
              </w:rPr>
              <w:t xml:space="preserve">。</w:t>
            </w:r>
            <w:r>
              <w:rPr>
                <w:rFonts w:hint="eastAsia" w:ascii="宋体" w:hAnsi="宋体" w:eastAsia="宋体" w:cs="宋体"/>
                <w:b/>
                <w:bCs/>
                <w:color w:val="auto"/>
                <w:sz w:val="21"/>
                <w:szCs w:val="21"/>
                <w:highlight w:val="none"/>
                <w:lang w:bidi="ar"/>
                <w14:ligatures w14:val="standardContextual"/>
              </w:rPr>
              <w:t xml:space="preserve">投标文件中需至少提供以下三大类场景资源中的两大类的真实目录截图证明；</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（一）智慧养老类：</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1.老年综合评估虚拟仿真场景库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2.老年照护虚拟仿真场景库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3.老年康复培训虚拟仿真场景库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4.机构养老虚拟仿真场景库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5.社区养老虚拟仿真场景库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6.居家养老虚拟仿真场景库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7.老年心理辅导虚拟仿真场景库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8.老年营养膳食虚拟仿真场景库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9.老年人压疮护理虚拟仿真场景库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10.老年人应急救护虚拟仿真场景库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11.养老护理员文化素养虚拟仿真场景库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12.运动康复治疗虚拟仿真场景库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13.常见疾病综合训练虚拟仿真场景库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14.适老化环境设计与改造虚拟仿真场景库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15.失智老年人照护虚拟仿真场景库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16.智慧养老与远程医养虚拟仿真场景库</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（二）现代家政类：</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1.高级管家服务虚拟仿真场景库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2.家庭礼仪训练虚拟仿真场景库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3.家庭理财管理虚拟仿真场景库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4.家庭营养与饮食管理虚拟仿真场景库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5.家政公司运营管理虚拟仿真场景库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6.家庭心理健康管理虚拟仿真场景库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（三）幼托类：</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1.情景模拟应急处理虚拟仿真场景库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2.幼儿游戏虚拟仿真场景库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3.幼儿一日活动虚拟仿真场景库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4.公共环境创设虚拟仿真场景库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5.班级环境创设虚拟仿真场景库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6.音乐教室环境创设虚拟仿真场景库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7.人体认知虚拟仿真场景库</w:t>
            </w:r>
            <w:r/>
          </w:p>
          <w:p>
            <w:pPr>
              <w:jc w:val="left"/>
              <w:widowControl/>
              <w:rPr>
                <w:rFonts w:hint="eastAsia" w:ascii="宋体" w:hAnsi="宋体" w:eastAsia="宋体" w:cs="宋体"/>
                <w:color w:val="ee0000"/>
                <w:sz w:val="21"/>
                <w:szCs w:val="21"/>
                <w:highlight w:val="none"/>
              </w:rPr>
            </w:pPr>
            <w:r>
              <w:rPr>
                <w:rFonts w:hint="eastAsia" w:ascii="宋体" w:hAnsi="宋体" w:eastAsia="宋体" w:cs="宋体"/>
                <w:color w:val="auto"/>
                <w:sz w:val="21"/>
                <w:szCs w:val="21"/>
                <w:highlight w:val="none"/>
                <w:lang w:bidi="ar"/>
                <w14:ligatures w14:val="standardContextual"/>
              </w:rPr>
              <w:t xml:space="preserve">8.儿童生长发育虚拟仿真场景库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9.幼儿卫生保健虚拟仿真场景库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10.意外伤害的预防和处理虚拟仿真场景库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11.常见疾病的预防和处理虚拟仿真场景库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12.幼儿心理健康虚拟仿真场景库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13.婴幼儿意外急救护理虚拟仿真场景库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14.婴幼儿生活照料虚拟仿真场景库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15.婴幼儿日常护理虚拟仿真场景库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16.婴幼儿日常急救护理虚拟仿真场景库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17.婴幼儿常见损伤处理虚拟仿真场景库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18.婴幼儿严重损伤处理虚拟仿真场景库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19.婴幼儿音乐感知系统虚拟仿真场景库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20.幼儿不良行为处理虚拟仿真场景库 </w:t>
            </w:r>
            <w:r>
              <w:rPr>
                <w:rFonts w:hint="eastAsia" w:ascii="宋体" w:hAnsi="宋体" w:eastAsia="宋体" w:cs="宋体"/>
                <w:color w:val="auto"/>
                <w:sz w:val="21"/>
                <w:szCs w:val="21"/>
                <w:highlight w:val="none"/>
                <w:lang w:bidi="ar"/>
                <w14:ligatures w14:val="standardContextual"/>
              </w:rPr>
              <w:br/>
            </w:r>
            <w:r>
              <w:rPr>
                <w:rFonts w:hint="eastAsia" w:ascii="宋体" w:hAnsi="宋体" w:eastAsia="宋体" w:cs="宋体"/>
                <w:color w:val="auto"/>
                <w:sz w:val="21"/>
                <w:szCs w:val="21"/>
                <w:highlight w:val="none"/>
                <w:lang w:bidi="ar"/>
                <w14:ligatures w14:val="standardContextual"/>
              </w:rPr>
              <w:t xml:space="preserve">21.幼儿园安全与教育虚拟仿真场景库</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大厅沙发椅套装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45"/>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长条形，座位*5；</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2.参考尺寸：长≥320cm、宽≥60cm；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3.材质：超纤革，（供货时提供CMA或CNAS标识的有害物达标检测报告，检测标准为GB 18584-2024）；</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4.风格：简约现代，支持模块化自由拼接。</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10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立柱式展台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1.材质：综合采用木质、金属、玻璃、塑料、亚克力等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2.参考尺寸：40*40cm，H65~75cm；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3.现代简约风格，主色系统一默认鲜亮清爽色系，特殊要求除外；整体造型和颜色搭配与主题环境协调。</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1</w:t>
            </w:r>
            <w:r>
              <w:rPr>
                <w:rFonts w:hint="eastAsia" w:ascii="宋体" w:hAnsi="宋体" w:eastAsia="宋体" w:cs="宋体"/>
                <w:color w:val="000000"/>
                <w:sz w:val="21"/>
                <w:szCs w:val="21"/>
                <w:highlight w:val="none"/>
                <w:lang w:val="en-US" w:eastAsia="zh-CN"/>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（椭）圆形展台</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1.定制，用于商品或作品展示；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2.参考尺寸：φ120～135cm，H65~75cm；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3.材质：综合采用木质、金属、玻璃、塑料、亚克力等；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4.整体要求：现代简约风格，主色系统一默认鲜亮清爽色系，特殊要求除外；整体造型和颜色搭配与主题环境协调。</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1</w:t>
            </w:r>
            <w:r>
              <w:rPr>
                <w:rFonts w:hint="eastAsia" w:ascii="宋体" w:hAnsi="宋体" w:eastAsia="宋体" w:cs="宋体"/>
                <w:color w:val="000000"/>
                <w:sz w:val="21"/>
                <w:szCs w:val="21"/>
                <w:highlight w:val="none"/>
                <w:lang w:val="en-US" w:eastAsia="zh-CN"/>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文化主题墙设计与制作</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一、总体要求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1.用于主题文化展示、形象信息宣达、室内美化等；现场定制；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2.参考规格：≥10㎡；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3.材质：根据项目情况选用，包括：装饰板、KT板、铝合金、亚克力、复合石材、木质等；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4.项目实施过程中确保内部走线、线盒、接口等必须隐藏不外露，安全美观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二、框架样式与内容元素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1.本项目包含文化制作以及制成品的安装实施；具体框架样式和内容元素由使用方最终确认提供；</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2.实施方须提供不少于3套文化墙框架造型样式模板供选择参考；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3.围绕空间环境主题，综合考虑整体位置、布局，营造美观大方的整体氛围；整体内容元素和颜色搭配与周围环境协调；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4.主色系默认采用鲜亮、清爽色系。</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项</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1</w:t>
            </w:r>
            <w:r>
              <w:rPr>
                <w:rFonts w:hint="eastAsia" w:ascii="宋体" w:hAnsi="宋体" w:eastAsia="宋体" w:cs="宋体"/>
                <w:color w:val="000000"/>
                <w:sz w:val="21"/>
                <w:szCs w:val="21"/>
                <w:highlight w:val="none"/>
                <w:lang w:val="en-US" w:eastAsia="zh-CN"/>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宣传迎宾机器人</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numPr>
                <w:ilvl w:val="0"/>
                <w:numId w:val="46"/>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基本功能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1.人形机器人，双臂前后摆动、头部上下左右摆动；ABS材质，主骨架采用钢结构，外壳用ABS塑料+PE材料；面部表情采用LCD表情；外形尺寸 高度≥1.2米；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2.运动方式：轮式差动驱动方式，驱动轮轴过底盘中心，可原地回转，不需转弯半径；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3.语音识别：采用线性麦克风阵列；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4.深度相机传感器：激光雷达传感器1个；摄像头不低于800万像素；具有人脸识别、拍照功能；激光雷达扫描测距40米；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5.续航能力：≥8小时；待机状态不少于10H；</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6.显示屏：≥13.3寸，1920*1080分辨率；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7.充电方式：自动充电，电量不足时可自动回充，也可支持手动充电；</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8.操作系统：不低于Android12；</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9.机器人技术：包含：语音交流、人脸识别、手机控制、老化测试、机器人互动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二、软件功能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1.智能迎宾形象，人工智能化的形象宣传代言人，自带宣传效果；以人工智能科技缓解人力资源不足现状，提高服务效益，提升服务体验；</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2.专业服务知识，可集合添加海量的知识库信息，拥有专业的业务知识，可以通过咨询对客人给出相应的回复；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3.语音交互，语音识别，客人通过语音与机器人交互，机器人能够识别客人语音，回答客人问题；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4.触屏交互，客人根据显示屏中显示内容或选项，进行相应操作；</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5.迎宾接待，机器人检测到客人人脸时，主动向客人打招呼问好；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6.智能宣讲，机器人支持以图片、音频、视频、文字、语音等多种形式向客人介绍、展示、宣传服务内容、服务流程等。支持用户自主选择呈现内容，支持用户自定义介绍内容和方式；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7.导航指路，机器人采用多传感器组合，超声波传感器和激光雷达传感器双重保障，建好地图后可实现引导功能，可为客人导航带路。支持从所在位置或指定位置带客人去往目的位置；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8.导览讲解，采用先进的Lidar SLAM 技术，自主创建环境地图；</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9.主动避障，在引导的过程中遇到障碍物，机器人可以轻松绕开，重新规划路径，避开障碍物，工作更有效率更安全。</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14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智能讲解系统定制</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1.本系统可使参与者到达讲解点后通过布置在空间中的按钮、二维码导览牌等，利用智能手机、平板电脑等移动终端设备通过扫描二维码，在线浏览各项数字化内容讲解服务；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2.通过文字、图片、音频、视频等方式传递给参观者；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3.内容涵盖本项目各个实训室的功能讲解；并至少包含如下内容：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功能定位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rPr>
              <w:t xml:space="preserve">环境布置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rPr>
              <w:t xml:space="preserve">设备设施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3.4</w:t>
            </w:r>
            <w:r>
              <w:rPr>
                <w:rFonts w:hint="eastAsia" w:ascii="宋体" w:hAnsi="宋体" w:eastAsia="宋体" w:cs="宋体"/>
                <w:color w:val="000000"/>
                <w:sz w:val="21"/>
                <w:szCs w:val="21"/>
                <w:highlight w:val="none"/>
              </w:rPr>
              <w:t xml:space="preserve">场景设计</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t xml:space="preserve">亮点解读</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4.通过扫描印制二维码的点阵码和使用实训地点或虚拟点中呈现的二维码，系统就会在智能手机、平板电脑等终端设备上显示所处的位置以及文字、图片、音频、视频介绍内容；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5.本项目的素材鉴于需要和甲方商议决定，因此如果由于时间因素，也可提供一次性内容模板先行验收，后期配合协助提供最终定稿内容；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6.音频介绍：音频介绍主要是以展示内容的简介和优势为讲述内容，起到了电子导游的功能。</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1</w:t>
            </w:r>
            <w:r>
              <w:rPr>
                <w:rFonts w:hint="eastAsia" w:ascii="宋体" w:hAnsi="宋体" w:eastAsia="宋体" w:cs="宋体"/>
                <w:color w:val="000000"/>
                <w:sz w:val="21"/>
                <w:szCs w:val="21"/>
                <w:highlight w:val="none"/>
                <w:lang w:val="en-US" w:eastAsia="zh-CN"/>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平板电脑</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47"/>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屏幕≥10英寸；</w:t>
            </w:r>
            <w:r/>
          </w:p>
          <w:p>
            <w:pPr>
              <w:numPr>
                <w:ilvl w:val="0"/>
                <w:numId w:val="47"/>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主频≥3.0GHZ；</w:t>
            </w:r>
            <w:r/>
          </w:p>
          <w:p>
            <w:pPr>
              <w:numPr>
                <w:ilvl w:val="0"/>
                <w:numId w:val="47"/>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内存存储≥8GB+128GB。</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A02010107 平板式微型计算机</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1</w:t>
            </w:r>
            <w:r>
              <w:rPr>
                <w:rFonts w:hint="eastAsia" w:ascii="宋体" w:hAnsi="宋体" w:eastAsia="宋体" w:cs="宋体"/>
                <w:color w:val="000000"/>
                <w:sz w:val="21"/>
                <w:szCs w:val="21"/>
                <w:highlight w:val="none"/>
                <w:lang w:val="en-US" w:eastAsia="zh-CN"/>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bookmarkStart w:id="132" w:name="OLE_LINK9"/>
            <w:r>
              <w:rPr>
                <w:rFonts w:hint="eastAsia" w:ascii="宋体" w:hAnsi="宋体" w:eastAsia="宋体" w:cs="宋体"/>
                <w:color w:val="000000"/>
                <w:sz w:val="21"/>
                <w:szCs w:val="21"/>
                <w:highlight w:val="none"/>
                <w14:ligatures w14:val="standardContextual"/>
              </w:rPr>
              <w:t xml:space="preserve">四人位休闲桌椅</w:t>
            </w:r>
            <w:bookmarkEnd w:id="132"/>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numPr>
                <w:ilvl w:val="0"/>
                <w:numId w:val="48"/>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休闲沙发茶几套装、1桌4椅（桌椅均为实木）；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2.规格参考：桌几φ60cm*h58cm；椅子：55cm*60cm*75cm；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3.材质：优质海绵+优质PVC皮质；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4.现代简约风格，整体外观美观大气，整体设计符合人体工学，舒适度高</w:t>
            </w:r>
            <w:r>
              <w:rPr>
                <w:rFonts w:hint="eastAsia" w:ascii="宋体" w:hAnsi="宋体" w:cs="宋体"/>
                <w:color w:val="000000"/>
                <w:sz w:val="21"/>
                <w:szCs w:val="21"/>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1</w:t>
            </w:r>
            <w:r>
              <w:rPr>
                <w:rFonts w:hint="eastAsia" w:ascii="宋体" w:hAnsi="宋体" w:eastAsia="宋体" w:cs="宋体"/>
                <w:color w:val="000000"/>
                <w:sz w:val="21"/>
                <w:szCs w:val="21"/>
                <w:highlight w:val="none"/>
                <w:lang w:val="en-US" w:eastAsia="zh-CN"/>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网络摄像机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一、视频参数：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1.800万像素；</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2.最高分辨率2688×1520 @25 fps下可输出实时图像；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3.镜头配置：焦距：3.6mm；广角角度：180°水平视场角、100°对角视场角等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二、音频参数</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1.录音功能：内置1个麦克风，支持拾音功能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2.拾音距离：5米至30米不等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3.音频处理：支持环境噪声过滤、3D数字降噪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三、夜视功能</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1.补光方式：红外补光、白光补光可选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2.补光距离：20米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 夜视技术：Smart IR智能防过曝、ICR红外滤片自动切换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四、网络与存储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1.网络接口：1个RJ45 10M/100M自适应以太网口</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2.存储支持：Micro SD卡（最高256GB）、NVR网络存储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3.网络协议：TCP/IP、HTTP、DHCP、DNS、RTSP等</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1</w:t>
            </w:r>
            <w:r>
              <w:rPr>
                <w:rFonts w:hint="eastAsia" w:ascii="宋体" w:hAnsi="宋体" w:eastAsia="宋体" w:cs="宋体"/>
                <w:color w:val="000000"/>
                <w:sz w:val="21"/>
                <w:szCs w:val="21"/>
                <w:highlight w:val="none"/>
                <w:lang w:val="en-US" w:eastAsia="zh-CN"/>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32路NVR</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1.视频接入路数：32；同步回放：32；</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2.录像分辨率：支持8MP（4K）-1080P等多分辨率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3.视频输出：2路HDMI，1路VGA，HDMI最高支持4K/30Hz输出，双接口可同源显示；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4.编码标准：双兼容H.265/H.264，支持H.265+智能编码，存储占用减半；</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5.硬盘接口：2盘位，单盘最高支持10TB，总存储容量最高20TB</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6.支持目标检索功能，按事件、姓名检索目标，支持以脸搜脸，并关联录像；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7.可接驳符合ONVIF、RTSP标准及众多主流厂商的网络摄像机；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8.备份方式：支持USB 2.0/3.0接口（U盘/移动硬盘）、网络备份，录像格式为MP4，兼容常规播放器；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9.网络接口：1—2个千兆RJ45端口，支持多址/容错模式，兼容ONVIF、RTSP、GB28181等协议；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10.录像模式：支持手动、定时、移动侦测、智能报警（区域入侵/绊线检测等）录像，循环覆盖存储；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11.回放能力：最高9路同步回放，支持2X-16X快进/快退、单帧播放，部分支持人</w:t>
            </w:r>
            <w:r>
              <w:rPr>
                <w:rFonts w:hint="eastAsia" w:ascii="宋体" w:hAnsi="宋体" w:cs="宋体"/>
                <w:color w:val="000000"/>
                <w:sz w:val="21"/>
                <w:szCs w:val="21"/>
                <w:highlight w:val="none"/>
                <w:lang w:val="en-US" w:eastAsia="zh-CN"/>
              </w:rPr>
              <w:t xml:space="preserve">工</w:t>
            </w:r>
            <w:r>
              <w:rPr>
                <w:rFonts w:hint="eastAsia" w:ascii="宋体" w:hAnsi="宋体" w:eastAsia="宋体" w:cs="宋体"/>
                <w:color w:val="000000"/>
                <w:sz w:val="21"/>
                <w:szCs w:val="21"/>
                <w:highlight w:val="none"/>
              </w:rPr>
              <w:t xml:space="preserve">智能标记检索；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12.智能功能：含视频丢失报警、遮挡检测、电子放大，支持远程APP/客户端监控，秒连远程访问。</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1</w:t>
            </w:r>
            <w:r>
              <w:rPr>
                <w:rFonts w:hint="eastAsia" w:ascii="宋体" w:hAnsi="宋体" w:eastAsia="宋体" w:cs="宋体"/>
                <w:color w:val="000000"/>
                <w:sz w:val="21"/>
                <w:szCs w:val="21"/>
                <w:highlight w:val="none"/>
                <w:lang w:val="en-US" w:eastAsia="zh-CN"/>
                <w14:ligatures w14:val="standardContextual"/>
              </w:rPr>
              <w:t xml:space="preserve">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视频监控级硬盘</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rPr>
              <w:t xml:space="preserve">1.8T监控级硬盘，3.5英寸 8TB 256M SATA3；</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2.支持查看硬盘健康状态信息，包括温度，振动，链路稳定性。并支持状态信息预警显示；支持查看最近7天（168小时）的硬盘状态信息；</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在线检查硬盘运行状态、健康状态，包括低温警报、高温警报、异步信号恢复警报、重新分配扇区技术警报、读取恢复警报、无法修复的错误警报、机械故障警报、磁头加载率警报、电源接通复位率警报、总功率负载率警报、电源开启小时警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4.支持图片存储服务管理功能，可将NVR作为图片存储服务器，接收外设推送的图片进行存储</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POE交换机</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1.提供16个千兆PoE电口、2个千兆光口；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2.支持IEEE 802.3at/af标准，IEEE 802.3、IEEE 802.3u、IEEE 802.3x、IEEE 802.3ab、IEEE 802.3z标准；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3.支持云管APP管理；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4.支持安防网络拓扑管理、链路聚合、端口管理；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5.支持远程升级；</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6.支持6 KV防浪涌（PoE口）；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7.支持PoE输出功率管理；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8.支持线速转发；</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9.支持存储转发交换方式；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10.整机最大POE供电功率：225 W。</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auto"/>
                <w:sz w:val="21"/>
                <w:szCs w:val="21"/>
                <w:highlight w:val="none"/>
                <w:lang w:val="en-US" w:eastAsia="zh-CN"/>
                <w14:ligatures w14:val="standardContextual"/>
              </w:rPr>
            </w:pPr>
            <w:r>
              <w:rPr>
                <w:rFonts w:hint="eastAsia" w:ascii="宋体" w:hAnsi="宋体" w:eastAsia="宋体" w:cs="宋体"/>
                <w:color w:val="auto"/>
                <w:sz w:val="21"/>
                <w:szCs w:val="21"/>
                <w:highlight w:val="none"/>
                <w:lang w:val="en-US" w:eastAsia="zh-CN"/>
                <w14:ligatures w14:val="standardContextual"/>
              </w:rPr>
              <w:t xml:space="preserve">21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安全网关</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配置千兆电口≥8个，千兆光口≥2个，1个Console口，1个USB接口，网络层吞吐量≥2G，并发连接≥100万，每秒新建连接数≥2万；配置80个SSLVPN并发用户数；支持应用控制功能、URL过滤功能、病毒防护功能、入侵防御功能、威胁情报检测功能；包含三年硬件维保服务和三年安全组合升级订阅服务（包含威胁情报库、应用识别库、URL分类特征库、病毒防护特征库、入侵防御特征库升级服务）；</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支持VTEP（VxLan Tunnel EndPoint）模式接入VxLAN网络，并可作为VXLAN二层、三层网关实现VxLan网络与传统以太网的相同子网内、跨子网间互联互通；支持通过绑定VLAN、VNI（VXLAN Network Identifier）、远程VTEP，手动管理VxLan网络；支持MAC、VNI、VTEP静态绑定；</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▲支持MTU≥9000byte的巨型帧；支持对敏感信息泄露攻击进行拦截，支持勒索软件通信防护功能，流量编排支持隧道接口，通过隧道的方式将流量引流到其他设备上；</w:t>
            </w:r>
            <w:r>
              <w:rPr>
                <w:rFonts w:hint="eastAsia" w:ascii="宋体" w:hAnsi="宋体" w:eastAsia="宋体" w:cs="宋体"/>
                <w:b/>
                <w:bCs/>
                <w:color w:val="auto"/>
                <w:sz w:val="21"/>
                <w:szCs w:val="21"/>
                <w:highlight w:val="none"/>
              </w:rPr>
              <w:t xml:space="preserve">提供具有CNAS或CMA标志的证明材料；</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支持基于主机或威胁情报视图，统计网络中确认被入侵、攻破的主机数量，至少可查看被入侵、攻破的时间、威胁类别、情报来源、威胁简介、被入侵、攻破的主机IP、用户名、资产等信息；并对威胁情报发现的恶意主机执行自动阻断；</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支持共享上网检测功能，支持共享接入检测和共享接入管控功能，可以通过设置管控地址和例外地址优化管控功能，同时支持阻断或告警动作</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22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视频监控线缆</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超六类网线、水晶头、电源线，含支架、施工；</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批</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2727"/>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23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智能音响</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1.智能音箱：接收距离≥10m；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2.频响范围：20HZ—20000Hz；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3.连接方式：Wi-Fi：2.4G/5G双频；蓝牙：5.3（支持BLE）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4.通道数量：≥三分频（七单元）；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5.尺寸参考：600mmx600mmx125mm；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6.喇叭额定功率：≥40WD级高音功放x2；≥120WD级中音功放x4；≥350WD级低音功放x1；</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7.喇叭单元：高音喇叭单元x2；中音喇叭单元x4；低音喇叭单元x1；</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8.带高清屏，呈现细致画面；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9.支持专属APP，量身定制音乐，场景、歌词动效、纯享动态时钟等。</w:t>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24</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智防免流监控</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终身免费4G流量。像素≥400万，云存储回放，存储卡≥128G。支持全彩夜视，360 度全景监控、云台旋转、AI 人形追踪、防水设计，语音对讲，手机app，无弹窗广告。</w:t>
            </w:r>
            <w:r/>
          </w:p>
        </w:tc>
        <w:tc>
          <w:tcPr>
            <w:shd w:val="clear" w:color="auto" w:fill="ffffff"/>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25</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一体机电脑</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处理器≥i5十二代、运存≥16GB 、硬盘≥512GB固态、27英寸屏，集成显卡，无线键鼠。</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eastAsia="宋体" w:cs="宋体"/>
                <w:b/>
                <w:bCs/>
                <w:sz w:val="21"/>
                <w:szCs w:val="21"/>
                <w:highlight w:val="none"/>
                <w:lang w:val="en-US" w:eastAsia="zh-CN"/>
              </w:rPr>
              <w:t xml:space="preserve">A02010104 台式计算机</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2</w:t>
            </w:r>
            <w:r>
              <w:rPr>
                <w:rFonts w:hint="eastAsia" w:ascii="宋体" w:hAnsi="宋体" w:eastAsia="宋体" w:cs="宋体"/>
                <w:color w:val="000000"/>
                <w:sz w:val="21"/>
                <w:szCs w:val="21"/>
                <w:highlight w:val="none"/>
                <w:lang w:val="en-US" w:eastAsia="zh-CN"/>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综合布线</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1.设计部署</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（1）依据国际布线标准ISO/IEC11801:1995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E）和ANSI/TIA/EIA568A；</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（2）参照《中国建筑电气设计规范》《建筑与建筑群综合布线系统工程设计规范》；《建筑与建筑群综合布线系统工程施工及验收规范》（中国工程建设标准化协会标准）；《结构化布线系统设计总则》等；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2.总体要求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（1）一般采用暗线，在地面或墙面开挖线槽，主区线缆走地面线槽通过支管到各终端；通过桌脚钢管通往桌面，避免线头外露，确保安全美观；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（2）特别情况走明线的，须用合金或不锈钢线管包覆；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（3）插线盒一般部署在桌面或桌脚处、嵌入式。</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140</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2</w:t>
            </w:r>
            <w:r>
              <w:rPr>
                <w:rFonts w:hint="eastAsia" w:ascii="宋体" w:hAnsi="宋体" w:eastAsia="宋体" w:cs="宋体"/>
                <w:color w:val="000000"/>
                <w:sz w:val="21"/>
                <w:szCs w:val="21"/>
                <w:highlight w:val="none"/>
                <w:lang w:val="en-US" w:eastAsia="zh-CN"/>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肯德基双开门</w:t>
            </w:r>
            <w:r/>
          </w:p>
        </w:tc>
        <w:tc>
          <w:tcPr>
            <w:tcBorders>
              <w:top w:val="single" w:color="000000" w:sz="4" w:space="0"/>
              <w:left w:val="single" w:color="000000" w:sz="4" w:space="0"/>
              <w:bottom w:val="single" w:color="000000" w:sz="4" w:space="0"/>
              <w:right w:val="single" w:color="000000" w:sz="4" w:space="0"/>
            </w:tcBorders>
            <w:tcW w:w="7452" w:type="dxa"/>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1.含门体、门套、密码锁、门把手及五金配件；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2.采用≥10mm钢化玻璃；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3.门体钢化玻璃；铝合金框架，默认拉丝银灰色。</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2</w:t>
            </w:r>
            <w:r>
              <w:rPr>
                <w:rFonts w:hint="eastAsia" w:ascii="宋体" w:hAnsi="宋体" w:eastAsia="宋体" w:cs="宋体"/>
                <w:color w:val="000000"/>
                <w:sz w:val="21"/>
                <w:szCs w:val="21"/>
                <w:highlight w:val="none"/>
                <w:lang w:val="en-US" w:eastAsia="zh-CN"/>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成品单开木门</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rPr>
              <w:t xml:space="preserve">1.含门体、门套、门锁，以及门把手、门铰链等；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2.材质：实木+金属配件；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3.参考规格：单门H≥250cm；W≥90cm；根据施工情况并参照设计方案。</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sz w:val="21"/>
                <w:szCs w:val="21"/>
                <w:highlight w:val="none"/>
                <w:lang w:eastAsia="zh-CN"/>
                <w14:ligatures w14:val="standardContextual"/>
              </w:rPr>
            </w:pPr>
            <w:r>
              <w:rPr>
                <w:rFonts w:hint="eastAsia" w:ascii="宋体" w:hAnsi="宋体" w:eastAsia="宋体" w:cs="宋体"/>
                <w:sz w:val="21"/>
                <w:szCs w:val="21"/>
                <w:highlight w:val="none"/>
                <w14:ligatures w14:val="standardContextual"/>
              </w:rPr>
              <w:t xml:space="preserve">2</w:t>
            </w:r>
            <w:r>
              <w:rPr>
                <w:rFonts w:hint="eastAsia" w:ascii="宋体" w:hAnsi="宋体" w:eastAsia="宋体" w:cs="宋体"/>
                <w:sz w:val="21"/>
                <w:szCs w:val="21"/>
                <w:highlight w:val="none"/>
                <w:lang w:val="en-US" w:eastAsia="zh-CN"/>
                <w14:ligatures w14:val="standardContextual"/>
              </w:rPr>
              <w:t xml:space="preserve">9</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电磁门禁套装</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人脸+指纹+密码+刷卡四重解锁，DC12v</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拉力≥120kg。</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30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1.5匹挂机空调</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变频，一级能效，制冷功率≤840w，制热功率≤1250w，制冷量≥3510w，制热量≥5010w。</w:t>
            </w:r>
            <w:r/>
          </w:p>
          <w:p>
            <w:pPr>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cs="宋体"/>
                <w:b/>
                <w:bCs/>
                <w:sz w:val="21"/>
                <w:szCs w:val="21"/>
                <w:highlight w:val="none"/>
                <w:lang w:val="en-US" w:eastAsia="zh-CN"/>
              </w:rPr>
              <w:t xml:space="preserve">A020523 制冷空调设备</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31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天花吸顶空调</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1.5匹冷暖天花机、一级能效；</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2.电压/频率：380V/50Hz；</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3.制冷量：≥12000W；制热量：≥13600W</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★该产品属于《节能产品政府采购品目</w:t>
            </w:r>
            <w:r>
              <w:rPr>
                <w:rFonts w:hint="eastAsia" w:ascii="宋体" w:hAnsi="宋体" w:eastAsia="宋体" w:cs="宋体"/>
                <w:b/>
                <w:bCs/>
                <w:sz w:val="21"/>
                <w:szCs w:val="21"/>
                <w:highlight w:val="none"/>
                <w:lang w:eastAsia="zh-CN"/>
              </w:rPr>
              <w:t xml:space="preserve">清单</w:t>
            </w:r>
            <w:r>
              <w:rPr>
                <w:rFonts w:hint="eastAsia" w:ascii="宋体" w:hAnsi="宋体" w:eastAsia="宋体" w:cs="宋体"/>
                <w:b/>
                <w:bCs/>
                <w:sz w:val="21"/>
                <w:szCs w:val="21"/>
                <w:highlight w:val="none"/>
              </w:rPr>
              <w:t xml:space="preserve">》范围中政府强制采购产品类别的“</w:t>
            </w:r>
            <w:r>
              <w:rPr>
                <w:rFonts w:hint="eastAsia" w:ascii="宋体" w:hAnsi="宋体" w:cs="宋体"/>
                <w:b/>
                <w:bCs/>
                <w:sz w:val="21"/>
                <w:szCs w:val="21"/>
                <w:highlight w:val="none"/>
                <w:lang w:val="en-US" w:eastAsia="zh-CN"/>
              </w:rPr>
              <w:t xml:space="preserve">A020523 制冷空调设备</w:t>
            </w:r>
            <w:r>
              <w:rPr>
                <w:rFonts w:hint="eastAsia" w:ascii="宋体" w:hAnsi="宋体" w:eastAsia="宋体" w:cs="宋体"/>
                <w:b/>
                <w:bCs/>
                <w:sz w:val="21"/>
                <w:szCs w:val="21"/>
                <w:highlight w:val="none"/>
              </w:rPr>
              <w:t xml:space="preserve">”品目，投标人须在投标文件中提供：属于国家强制性节能产品品目清单内的产品获得的由国家确定的认证机构出具的、处于有效期之内的节能产品认证证书电子件，证书型号与投标产品一致，加投标人盖公章。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val="en-US" w:eastAsia="zh-CN"/>
                <w14:ligatures w14:val="standardContextual"/>
              </w:rPr>
            </w:pPr>
            <w:r>
              <w:rPr>
                <w:rFonts w:hint="eastAsia" w:ascii="宋体" w:hAnsi="宋体" w:eastAsia="宋体" w:cs="宋体"/>
                <w:color w:val="000000"/>
                <w:sz w:val="21"/>
                <w:szCs w:val="21"/>
                <w:highlight w:val="none"/>
                <w:lang w:val="en-US" w:eastAsia="zh-CN"/>
                <w14:ligatures w14:val="standardContextual"/>
              </w:rPr>
              <w:t xml:space="preserve">32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会标屏</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一、总体要求</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1.产品名称：室内单红色LED会标显示屏</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2.外形尺寸：宽度10.0m×高度0.6m</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二、参数</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1.像素间距：P4.75mm（F3.75）</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2.像素构成：1R 纯红色单基色</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5.亮度：≥300cd/㎡，亮度多级可调</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6.刷新频率：≥120Hz，无频闪、无抖动</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7.水平视角：≥120°，垂直视角：≥100°</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8.显示内容：汉字、字母、数字、标点符号、简单符号</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三、驱动与电气性能</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1.驱动方式：恒流驱动，1/16扫</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2.输入电压：AC220V±10%，50Hz</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3.平均功耗：≤120W/㎡</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4.最大功耗：≤300W/㎡</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5.工作温度：-10℃～+50℃</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6.工作湿度：10%～90%RH（无凝露）</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7.防护等级：IP65（室外使用）</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四、结构与模组参数</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1.单元板尺寸：304mm×152mm</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2.拼接缝隙均匀，整屏平整度高</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3.边框材质：优质铝合金型材</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4.模组具备防潮、防静电处理</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5.维护方式：后维护为主，可快速更换模组、电源</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五、控制系统及功能</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1.控制方式：异步控制，支持U盘/网口/</w:t>
            </w:r>
            <w:r>
              <w:rPr>
                <w:rFonts w:hint="eastAsia" w:ascii="宋体" w:hAnsi="宋体" w:eastAsia="宋体" w:cs="宋体"/>
                <w:sz w:val="21"/>
                <w:szCs w:val="21"/>
                <w:highlight w:val="none"/>
                <w:lang w:eastAsia="zh-CN"/>
              </w:rPr>
              <w:t xml:space="preserve">Wi-Fi</w:t>
            </w:r>
            <w:r>
              <w:rPr>
                <w:rFonts w:hint="eastAsia" w:ascii="宋体" w:hAnsi="宋体" w:eastAsia="宋体" w:cs="宋体"/>
                <w:sz w:val="21"/>
                <w:szCs w:val="21"/>
                <w:highlight w:val="none"/>
              </w:rPr>
              <w:t xml:space="preserve">（移动端APP/小程序</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2.通讯距离：网线传输≥100m</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3.显示模式：立即显示、左移、右移、上移、下移、闪烁、连续滚动</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4.支持多节目编辑、定时播放、定时开关机</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5.支持多种字体、字号、字间距、行间距调整</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6.支持软件一键发送、脱机运行</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六、可靠性指标</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1.LED使用寿命：≥100000小时</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2.盲点率：≤0.0001，无连续死灯</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3.平均无故障工作时间MTBF：≥10000小时</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4.整屏亮度均匀，无色差、无暗角、无暗线</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5.连续72小时满负荷运行无黑屏、闪屏、过热保护</w:t>
            </w:r>
            <w:r>
              <w:rPr>
                <w:rFonts w:hint="eastAsia" w:ascii="宋体" w:hAnsi="宋体" w:eastAsia="宋体" w:cs="宋体"/>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r>
      <w:tr>
        <w:trPr>
          <w:trHeight w:val="151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lang w:eastAsia="zh-CN"/>
                <w14:ligatures w14:val="standardContextual"/>
              </w:rPr>
            </w:pPr>
            <w:r>
              <w:rPr>
                <w:rFonts w:hint="eastAsia" w:ascii="宋体" w:hAnsi="宋体" w:eastAsia="宋体" w:cs="宋体"/>
                <w:color w:val="000000"/>
                <w:sz w:val="21"/>
                <w:szCs w:val="21"/>
                <w:highlight w:val="none"/>
                <w14:ligatures w14:val="standardContextual"/>
              </w:rPr>
              <w:t xml:space="preserve">3</w:t>
            </w:r>
            <w:r>
              <w:rPr>
                <w:rFonts w:hint="eastAsia" w:ascii="宋体" w:hAnsi="宋体" w:eastAsia="宋体" w:cs="宋体"/>
                <w:color w:val="000000"/>
                <w:sz w:val="21"/>
                <w:szCs w:val="21"/>
                <w:highlight w:val="none"/>
                <w:lang w:val="en-US" w:eastAsia="zh-CN"/>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基础装修改造</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一、整体要求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1.对本实训室内部按施工要求进行基础装修改造，旨在营造优良和谐、美观大方的空间环境；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2.执行国家及行业相关标准，确保为信息化设备及专业设备安装部署提供基础环境；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3.主要包含：现场拆除与垃圾清运、地面装饰处理、墙面装饰处理、天花装饰处理、灯光照明、窗帘定制与安装等。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二、现场环境改造及修整、垃圾清运、卫生清理等：1项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1.对场地原结构和原装饰部分，根据设计规划图纸或本项目实际要求进行改造、修补、平整；</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2.对所产生的建筑和装饰垃圾集中搬运、集中堆放、集中处理；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3.对空间集中进行一次全面的打扫、擦拭等卫生处理。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三、地面装饰处理：140㎡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采用3.0mm厚商用PVC塑胶卷材地板，产品须符合GB/T 11982.1-2022、GB 18586-2021及GB 8624-2012标准。</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地板总厚度≥3.0mm，耐磨层厚度≥0.7mm，耐磨等级T级，耐磨转数≥10000转，防火等级B1级，残余凹陷≤0.10mm，尺寸稳定性≤0.2%。</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产品环保性能须满足甲醛未检出，重金属及增塑剂符合国标限量要求。</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施工前基层须做界面剂处理及C20自流平水泥找平，采用环保水性专用胶水铺设，板缝热熔焊接，整体无缝、平整、防滑、耐磨、易清洁。</w:t>
            </w:r>
            <w:r/>
          </w:p>
          <w:p>
            <w:pPr>
              <w:jc w:val="left"/>
              <w:widowControl/>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开工前须提供有效期内的产品检测报告、防火检测报告、环保检测报告等证明文件</w:t>
            </w:r>
            <w:r>
              <w:rPr>
                <w:rFonts w:hint="eastAsia" w:ascii="宋体" w:hAnsi="宋体" w:eastAsia="宋体" w:cs="宋体"/>
                <w:b/>
                <w:bCs/>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结合强弱电综合布线、给排水等预制工序综合施工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四、墙面装饰处理：1项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1.材质：优质环保腻子粉、乳胶漆、阴阳角条；</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进场前提供腻子粉、乳胶漆环保认证证书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br/>
            </w:r>
            <w:r>
              <w:rPr>
                <w:rFonts w:hint="eastAsia" w:ascii="宋体" w:hAnsi="宋体" w:eastAsia="宋体" w:cs="宋体"/>
                <w:color w:val="000000"/>
                <w:sz w:val="21"/>
                <w:szCs w:val="21"/>
                <w:highlight w:val="none"/>
              </w:rPr>
              <w:t xml:space="preserve">2.做法：根据项目情况，综合采用原墙面批灰、腻子填充、平整、粉刷、二次粉刷；</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3.结合强弱电综合布线、给排水等预制工序综合施工；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4.颜色：主体白色，根据情况色彩搭配。</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五、天花装饰处理：140㎡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1.材质：石膏板造型集成吊顶；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2.做法：根据项目情况，综合采用悬挂吊杆、主龙骨、顶棚骨架、结构连接、封板等工艺做法；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3.结合强弱电布线、吸顶空调、灯光照明、监控等相关工序综合施工。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六、灯光照明：140㎡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1.采用三基色或 LED 灯光，线材采用国标4.0mm、2.5mm铜线；根据施工图或参考效果图，遵循国家和行业相关标准，综合设计安装灯光照明设备；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2.功能性原则：不同空间、不同场合、不同应用对象选择不同的照明方式和灯具，并均匀布光，平均照度要求≥500Lux；</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美观性原则：采用必要的装饰照明，使用装饰灯具，采用透射、反射、折射等多种手段，并合理统筹灯光照明的造型、材料、色彩、比例、尺度，灯具等；对室内空间进行美化装饰，增加空间层次，渲染环境气氛；</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4.经济性原则：采用性价比较高的灯光照明设计方案，不仅节约灯光照明设备的购置成本，也为以后的电源消耗提供集约化保证；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5.安全性原则：照明设计安全可靠；采取严格的防触电、防短路等安全措施，以避免意外事故的发生。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七、窗帘定制与安装：1项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1.材质：采用布艺材质、含窗帘杆、轨道、挂钩等配套。美观实用；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2.规格参考：与窗户实际规格数据吻合，允许适当误差；</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3.对本空间的窗帘进行现场量尺寸、定制与安装；</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4.整体颜色：与实训室环境协调，统一默认颜色：米黄色或高级灰或绅士蓝，特殊要求除外。</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bookmarkStart w:id="133" w:name="OLE_LINK7"/>
            <w:r>
              <w:rPr>
                <w:rFonts w:hint="eastAsia" w:ascii="宋体" w:hAnsi="宋体" w:eastAsia="宋体" w:cs="宋体"/>
                <w:color w:val="000000"/>
                <w:sz w:val="21"/>
                <w:szCs w:val="21"/>
                <w:highlight w:val="none"/>
                <w14:ligatures w14:val="standardContextual"/>
              </w:rPr>
              <w:t xml:space="preserve">㎡</w:t>
            </w:r>
            <w:bookmarkEnd w:id="133"/>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140</w:t>
            </w:r>
            <w:r/>
          </w:p>
        </w:tc>
      </w:tr>
      <w:tr>
        <w:trPr>
          <w:trHeight w:val="400"/>
        </w:trPr>
        <w:tc>
          <w:tcPr>
            <w:gridSpan w:val="5"/>
            <w:tcBorders>
              <w:top w:val="single" w:color="000000" w:sz="4" w:space="0"/>
              <w:left w:val="single" w:color="000000" w:sz="4" w:space="0"/>
              <w:bottom w:val="single" w:color="000000" w:sz="4" w:space="0"/>
              <w:right w:val="single" w:color="000000" w:sz="4" w:space="0"/>
            </w:tcBorders>
            <w:tcW w:w="9869" w:type="dxa"/>
            <w:vAlign w:val="center"/>
            <w:textDirection w:val="lrTb"/>
            <w:noWrap/>
          </w:tcPr>
          <w:p>
            <w:pP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八、基地附属建设</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bookmarkStart w:id="134" w:name="OLE_LINK3"/>
            <w:r>
              <w:rPr>
                <w:rFonts w:hint="eastAsia" w:ascii="宋体" w:hAnsi="宋体" w:eastAsia="宋体" w:cs="宋体"/>
                <w:color w:val="000000"/>
                <w:sz w:val="21"/>
                <w:szCs w:val="21"/>
                <w:highlight w:val="none"/>
                <w14:ligatures w14:val="standardContextual"/>
              </w:rPr>
              <w:t xml:space="preserve">沥青</w:t>
            </w:r>
            <w:bookmarkEnd w:id="134"/>
            <w:r>
              <w:rPr>
                <w:rFonts w:hint="eastAsia" w:ascii="宋体" w:hAnsi="宋体" w:eastAsia="宋体" w:cs="宋体"/>
                <w:color w:val="000000"/>
                <w:sz w:val="21"/>
                <w:szCs w:val="21"/>
                <w:highlight w:val="none"/>
                <w14:ligatures w14:val="standardContextual"/>
              </w:rPr>
              <w:t xml:space="preserve">铺装1</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1.部位：前庭原有水泥混凝土地面</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2.基层处理：对原有水泥地面进行清理、吹扫、缺陷修补、整平，表面洁净干燥</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3.界面处理：喷洒粘层油</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4.面层材料：细粒式沥青混凝土 AC-13C</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5.厚度：50mm</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6.工艺：机械摊铺、碾压密实，接缝顺直，平整度、压实度、厚度满足现行市政道路施工质量验收规范要求</w:t>
            </w:r>
            <w:r>
              <w:rPr>
                <w:rFonts w:hint="eastAsia" w:ascii="宋体" w:hAnsi="宋体" w:eastAsia="宋体" w:cs="宋体"/>
                <w:color w:val="000000"/>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500</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沥青铺装2</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1.部位为基地前方和东侧泥土地面。清除原地面杂草、杂物，树木和窨井保留，原土整平、碾压密实，压实度符合设计及规范要求</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2.基层：铺设150mm厚水泥稳定碎石（水稳层），分层摊铺、洒水、碾压密实，压实度及强度满足设计及规范要求</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3.透层与封层：基层验收合格后喷洒透层油、封层油</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4.沥青面层：50mm厚细粒式沥青混凝土AC-13C，机械摊铺、碾压成型</w:t>
            </w:r>
            <w:r>
              <w:rPr>
                <w:rFonts w:hint="eastAsia" w:ascii="宋体" w:hAnsi="宋体" w:eastAsia="宋体" w:cs="宋体"/>
                <w:color w:val="000000"/>
                <w:sz w:val="21"/>
                <w:szCs w:val="21"/>
                <w:highlight w:val="none"/>
                <w:lang w:eastAsia="zh-CN"/>
              </w:rPr>
              <w:t xml:space="preserve">；</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5.质量标准：路基、基层、面层压实度、平整度、厚度、横坡等均满足现行市政道路施工质量验收规范。</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850</w:t>
            </w:r>
            <w:r/>
          </w:p>
        </w:tc>
      </w:tr>
      <w:tr>
        <w:trPr>
          <w:trHeight w:val="4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widowControl/>
              <w:rPr>
                <w:rFonts w:hint="eastAsia" w:ascii="宋体" w:hAnsi="宋体" w:eastAsia="宋体" w:cs="宋体"/>
                <w:color w:val="000000"/>
                <w:sz w:val="21"/>
                <w:szCs w:val="21"/>
                <w:highlight w:val="none"/>
                <w14:ligatures w14:val="standardContextual"/>
              </w:rPr>
            </w:pPr>
            <w:r>
              <w:rPr>
                <w:rFonts w:hint="eastAsia" w:ascii="宋体" w:hAnsi="宋体" w:eastAsia="宋体" w:cs="宋体"/>
                <w:color w:val="000000"/>
                <w:sz w:val="21"/>
                <w:szCs w:val="21"/>
                <w:highlight w:val="none"/>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防盗窗</w:t>
            </w:r>
            <w:r/>
          </w:p>
        </w:tc>
        <w:tc>
          <w:tcPr>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一、材质要求</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1.主材材质：国标 304 不锈钢，禁止使用：201、202 等易生锈材质</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2.外框方管： 规格25×25mm ，壁厚≥1.2mm</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3.竖杆圆管：规格：≥Φ19mm ， 壁厚：≥1.0mm</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二、安全间距</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1.竖杆净空间距：≤100mm</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2.横杆间距：400mm 均匀分布</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三、结构与安装</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1.焊接：满焊/段焊均匀，焊点打磨平整</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2.固定膨胀螺栓：≥Φ8mm，入墙深度≥50mm</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3.固定间距：≤600mm，安装牢固无晃动</w:t>
            </w:r>
            <w:r>
              <w:rPr>
                <w:rFonts w:hint="eastAsia" w:ascii="宋体" w:hAnsi="宋体" w:eastAsia="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w:t>
            </w:r>
            <w:r>
              <w:rPr>
                <w:rFonts w:hint="eastAsia" w:ascii="宋体" w:hAnsi="宋体" w:eastAsia="宋体" w:cs="宋体"/>
                <w:b/>
                <w:bCs/>
                <w:sz w:val="21"/>
                <w:szCs w:val="21"/>
                <w:highlight w:val="none"/>
              </w:rPr>
              <w:t xml:space="preserve">★每扇窗口有逃生口：尺寸≥600×500mm，内侧可快速开启</w:t>
            </w:r>
            <w:r>
              <w:rPr>
                <w:rFonts w:hint="eastAsia" w:ascii="宋体" w:hAnsi="宋体" w:eastAsia="宋体" w:cs="宋体"/>
                <w:b/>
                <w:bCs/>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220</w:t>
            </w:r>
            <w:r/>
          </w:p>
        </w:tc>
      </w:tr>
    </w:tbl>
    <w:p>
      <w:pPr>
        <w:pStyle w:val="1345"/>
        <w:ind w:firstLine="482"/>
        <w:spacing w:line="360" w:lineRule="auto"/>
        <w:rPr>
          <w:rFonts w:hint="eastAsia" w:ascii="仿宋" w:hAnsi="仿宋" w:eastAsia="仿宋" w:cs="仿宋"/>
          <w:b/>
          <w:bCs/>
          <w:sz w:val="24"/>
          <w:szCs w:val="24"/>
          <w:highlight w:val="magenta"/>
        </w:rPr>
      </w:pPr>
      <w:r>
        <w:rPr>
          <w:rFonts w:hint="eastAsia" w:ascii="仿宋" w:hAnsi="仿宋" w:eastAsia="仿宋" w:cs="仿宋"/>
          <w:b/>
          <w:bCs/>
          <w:sz w:val="24"/>
          <w:szCs w:val="24"/>
          <w:highlight w:val="magenta"/>
        </w:rPr>
      </w:r>
      <w:r/>
    </w:p>
    <w:p>
      <w:pPr>
        <w:pStyle w:val="1168"/>
        <w:spacing w:line="360" w:lineRule="auto"/>
        <w:rPr>
          <w:rFonts w:hint="eastAsia" w:ascii="宋体" w:hAnsi="宋体" w:eastAsia="宋体" w:cs="宋体"/>
          <w:bCs/>
          <w:spacing w:val="20"/>
          <w:sz w:val="24"/>
        </w:rPr>
      </w:pPr>
      <w:r>
        <w:rPr>
          <w:rFonts w:hint="eastAsia" w:ascii="宋体" w:hAnsi="宋体" w:eastAsia="宋体" w:cs="宋体"/>
          <w:bCs/>
          <w:spacing w:val="20"/>
          <w:sz w:val="24"/>
        </w:rPr>
        <w:t xml:space="preserve">六、项目实施方案及服务要求</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包括但不限于总体概述、安装调试方案、质量保证方案、工期保证方案、关键施工点、验收维护方案等。</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1.总体概述：总体规划、组织内容应符合要求。</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2.安装、调试：实施细则要完善。</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3.现场管理满足现场需求。</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4.安装质量、进度及安全文明施工措施等。</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5.实施环境保护措施等内容应完整、详细具体要求。</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6.工期保证体系及保证措施：工期60天，工期保证体系及保证措施应完整。</w:t>
      </w:r>
      <w:r/>
    </w:p>
    <w:p>
      <w:pPr>
        <w:ind w:firstLine="480"/>
        <w:spacing w:line="360" w:lineRule="auto"/>
        <w:rPr>
          <w:rFonts w:hint="eastAsia" w:ascii="宋体" w:hAnsi="宋体" w:cs="宋体"/>
          <w:bCs/>
          <w:sz w:val="24"/>
          <w:szCs w:val="21"/>
          <w:highlight w:val="none"/>
        </w:rPr>
      </w:pPr>
      <w:r>
        <w:rPr>
          <w:rFonts w:hint="eastAsia" w:ascii="宋体" w:hAnsi="宋体" w:cs="宋体"/>
          <w:bCs/>
          <w:sz w:val="24"/>
          <w:szCs w:val="21"/>
        </w:rPr>
        <w:t xml:space="preserve">7</w:t>
      </w:r>
      <w:bookmarkStart w:id="135" w:name="OLE_LINK25"/>
      <w:r/>
      <w:bookmarkStart w:id="136" w:name="OLE_LINK24"/>
      <w:r>
        <w:rPr>
          <w:rFonts w:hint="eastAsia" w:ascii="宋体" w:hAnsi="宋体" w:cs="宋体"/>
          <w:bCs/>
          <w:sz w:val="24"/>
          <w:szCs w:val="21"/>
        </w:rPr>
        <w:t xml:space="preserve">.</w:t>
      </w:r>
      <w:r>
        <w:rPr>
          <w:rFonts w:hint="eastAsia" w:ascii="宋体" w:hAnsi="宋体" w:cs="宋体"/>
          <w:bCs/>
          <w:sz w:val="24"/>
          <w:szCs w:val="21"/>
          <w:highlight w:val="none"/>
        </w:rPr>
        <w:t xml:space="preserve">质保服务方案：包括但不限于售后服务承诺、服务响应等。</w:t>
      </w:r>
      <w:bookmarkEnd w:id="135"/>
      <w:r/>
      <w:bookmarkEnd w:id="136"/>
      <w:r/>
      <w:r/>
    </w:p>
    <w:p>
      <w:pPr>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8.验收终验通过之日起对项目</w:t>
      </w:r>
      <w:r>
        <w:rPr>
          <w:rFonts w:hint="eastAsia" w:ascii="宋体" w:hAnsi="宋体" w:cs="宋体"/>
          <w:bCs/>
          <w:sz w:val="24"/>
          <w:szCs w:val="21"/>
          <w:highlight w:val="none"/>
          <w:lang w:eastAsia="zh-CN"/>
        </w:rPr>
        <w:t xml:space="preserve">免费保修</w:t>
      </w:r>
      <w:r>
        <w:rPr>
          <w:rFonts w:hint="eastAsia" w:ascii="宋体" w:hAnsi="宋体" w:cs="宋体"/>
          <w:bCs/>
          <w:sz w:val="24"/>
          <w:szCs w:val="21"/>
          <w:highlight w:val="none"/>
        </w:rPr>
        <w:t xml:space="preserve">3年。在质保期内乙方对产品质量实行三包，因产品配置或质量问题而引起的故障，</w:t>
      </w:r>
      <w:bookmarkStart w:id="137" w:name="OLE_LINK14"/>
      <w:r>
        <w:rPr>
          <w:rFonts w:hint="eastAsia" w:ascii="宋体" w:hAnsi="宋体" w:cs="宋体"/>
          <w:bCs/>
          <w:sz w:val="24"/>
          <w:szCs w:val="21"/>
          <w:highlight w:val="none"/>
        </w:rPr>
        <w:t xml:space="preserve">乙方应在24小时内立即予以免费维修或更换</w:t>
      </w:r>
      <w:bookmarkEnd w:id="137"/>
      <w:r>
        <w:rPr>
          <w:rFonts w:hint="eastAsia" w:ascii="宋体" w:hAnsi="宋体" w:cs="宋体"/>
          <w:bCs/>
          <w:sz w:val="24"/>
          <w:szCs w:val="21"/>
          <w:highlight w:val="none"/>
        </w:rPr>
        <w:t xml:space="preserve">，由此引起的一切费用由乙方承担。</w:t>
      </w:r>
      <w:r>
        <w:rPr>
          <w:rFonts w:hint="eastAsia" w:ascii="宋体" w:hAnsi="宋体" w:cs="宋体"/>
          <w:bCs/>
          <w:sz w:val="24"/>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1002665</wp:posOffset>
                </wp:positionH>
                <wp:positionV relativeFrom="paragraph">
                  <wp:posOffset>-60960</wp:posOffset>
                </wp:positionV>
                <wp:extent cx="171450" cy="207010"/>
                <wp:effectExtent l="0" t="0" r="0" b="0"/>
                <wp:wrapNone/>
                <wp:docPr id="4" name="文本框 4"/>
                <wp:cNvGraphicFramePr/>
                <a:graphic xmlns:a="http://schemas.openxmlformats.org/drawingml/2006/main">
                  <a:graphicData uri="http://schemas.microsoft.com/office/word/2010/wordprocessingShape">
                    <wps:wsp>
                      <wps:cNvPr id="0" name=""/>
                      <wps:cNvSpPr/>
                      <wps:spPr bwMode="auto">
                        <a:xfrm>
                          <a:off x="0" y="0"/>
                          <a:ext cx="171450" cy="207009"/>
                        </a:xfrm>
                        <a:prstGeom prst="rect">
                          <a:avLst/>
                        </a:prstGeom>
                        <a:ln>
                          <a:noFill/>
                        </a:ln>
                      </wps:spPr>
                      <wps:txbx>
                        <w:txbxContent>
                          <w:p>
                            <w:pPr>
                              <w:spacing w:before="19" w:line="229" w:lineRule="auto"/>
                              <w:rPr>
                                <w:rFonts w:hint="eastAsia" w:ascii="宋体" w:hAnsi="宋体" w:cs="宋体"/>
                                <w:sz w:val="23"/>
                                <w:szCs w:val="23"/>
                              </w:rPr>
                            </w:pPr>
                            <w:r>
                              <w:rPr>
                                <w:rFonts w:hint="eastAsia" w:ascii="宋体" w:hAnsi="宋体" w:cs="宋体"/>
                                <w:sz w:val="23"/>
                                <w:szCs w:val="23"/>
                              </w:rPr>
                            </w:r>
                            <w:r/>
                          </w:p>
                        </w:txbxContent>
                      </wps:txbx>
                      <wps:bodyPr lIns="0" tIns="0" rIns="0" bIns="0" upright="1"/>
                    </wps:wsp>
                  </a:graphicData>
                </a:graphic>
              </wp:anchor>
            </w:drawing>
          </mc:Choice>
          <mc:Fallback>
            <w:pict>
              <v:shape id="shape 3" o:spid="_x0000_s3" o:spt="1" type="#_x0000_t1" style="position:absolute;z-index:251661312;o:allowoverlap:true;o:allowincell:true;mso-position-horizontal-relative:text;margin-left:79.0pt;mso-position-horizontal:absolute;mso-position-vertical-relative:text;margin-top:-4.8pt;mso-position-vertical:absolute;width:13.5pt;height:16.3pt;mso-wrap-distance-left:0.0pt;mso-wrap-distance-top:0.0pt;mso-wrap-distance-right:0.0pt;mso-wrap-distance-bottom:0.0pt;visibility:visible;" filled="f" stroked="f">
                <v:textbox inset="0,0,0,0">
                  <w:txbxContent>
                    <w:p>
                      <w:pPr>
                        <w:spacing w:before="19" w:line="229" w:lineRule="auto"/>
                        <w:rPr>
                          <w:rFonts w:hint="eastAsia" w:ascii="宋体" w:hAnsi="宋体" w:cs="宋体"/>
                          <w:sz w:val="23"/>
                          <w:szCs w:val="23"/>
                        </w:rPr>
                      </w:pPr>
                      <w:r>
                        <w:rPr>
                          <w:rFonts w:hint="eastAsia" w:ascii="宋体" w:hAnsi="宋体" w:cs="宋体"/>
                          <w:sz w:val="23"/>
                          <w:szCs w:val="23"/>
                        </w:rPr>
                      </w:r>
                      <w:r/>
                    </w:p>
                  </w:txbxContent>
                </v:textbox>
              </v:shape>
            </w:pict>
          </mc:Fallback>
        </mc:AlternateContent>
      </w:r>
      <w:r/>
    </w:p>
    <w:p>
      <w:pPr>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9.技术支持响应时间。一般问题2小时内电话支持，难点、重点问题2天内现场解决，质保期内相关费用由乙方承担。</w:t>
      </w:r>
      <w:r/>
    </w:p>
    <w:p>
      <w:pPr>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10.售后服务期过后，投标人仍有义务提供优惠的技术服务（包括提供设备、备件等）。</w:t>
      </w:r>
      <w:r/>
    </w:p>
    <w:p>
      <w:pPr>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11.项目施工进度由采购人按照采购实际需求情况决定，中标供应商无条件服从。</w:t>
      </w:r>
      <w:r/>
    </w:p>
    <w:p>
      <w:pPr>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12.中标后按采购人要求提供相关货物的第三方检测报告。</w:t>
      </w:r>
      <w:r/>
    </w:p>
    <w:p>
      <w:pPr>
        <w:ind w:firstLine="480"/>
        <w:spacing w:line="360" w:lineRule="auto"/>
        <w:rPr>
          <w:rFonts w:hint="eastAsia" w:ascii="宋体" w:hAnsi="宋体" w:cs="宋体"/>
          <w:bCs/>
          <w:sz w:val="24"/>
          <w:szCs w:val="21"/>
        </w:rPr>
      </w:pPr>
      <w:r>
        <w:rPr>
          <w:rFonts w:hint="eastAsia" w:ascii="宋体" w:hAnsi="宋体" w:cs="宋体"/>
          <w:bCs/>
          <w:sz w:val="24"/>
          <w:szCs w:val="21"/>
          <w:highlight w:val="none"/>
        </w:rPr>
        <w:t xml:space="preserve">13.中标供应商将货物送至采购人指定地点</w:t>
      </w:r>
      <w:r>
        <w:rPr>
          <w:rFonts w:hint="eastAsia" w:ascii="宋体" w:hAnsi="宋体" w:cs="宋体"/>
          <w:bCs/>
          <w:sz w:val="24"/>
          <w:szCs w:val="21"/>
        </w:rPr>
        <w:t xml:space="preserve">并安装，由供应商承担运费等相关费用，并向采购人提供详细的产品供货清单，</w:t>
      </w:r>
      <w:r>
        <w:rPr>
          <w:rFonts w:hint="eastAsia" w:ascii="宋体" w:hAnsi="宋体" w:cs="宋体"/>
          <w:bCs/>
          <w:sz w:val="24"/>
          <w:szCs w:val="21"/>
          <w:lang w:val="en-US" w:eastAsia="zh-CN"/>
        </w:rPr>
        <w:t xml:space="preserve">实木家具供货时，需提供绿色环保认证证书，</w:t>
      </w:r>
      <w:r>
        <w:rPr>
          <w:rFonts w:hint="eastAsia" w:ascii="宋体" w:hAnsi="宋体" w:cs="宋体"/>
          <w:bCs/>
          <w:sz w:val="24"/>
          <w:szCs w:val="21"/>
        </w:rPr>
        <w:t xml:space="preserve">由采购人确</w:t>
      </w:r>
      <w:r>
        <w:rPr>
          <w:rFonts w:hint="eastAsia" w:ascii="宋体" w:hAnsi="宋体" w:cs="宋体"/>
          <w:bCs/>
          <w:sz w:val="24"/>
          <w:szCs w:val="21"/>
          <w:lang w:val="en-US" w:eastAsia="zh-CN"/>
        </w:rPr>
        <w:t xml:space="preserve">认后方可进场</w:t>
      </w:r>
      <w:r>
        <w:rPr>
          <w:rFonts w:hint="eastAsia" w:ascii="宋体" w:hAnsi="宋体" w:cs="宋体"/>
          <w:bCs/>
          <w:sz w:val="24"/>
          <w:szCs w:val="21"/>
        </w:rPr>
        <w:t xml:space="preserve">。</w:t>
      </w:r>
      <w:r/>
    </w:p>
    <w:p>
      <w:pPr>
        <w:pStyle w:val="1346"/>
        <w:ind w:firstLine="241"/>
        <w:spacing w:line="360" w:lineRule="auto"/>
        <w:rPr>
          <w:rFonts w:hint="eastAsia" w:ascii="宋体" w:hAnsi="宋体" w:cs="宋体"/>
          <w:color w:val="000000"/>
          <w:sz w:val="24"/>
          <w:szCs w:val="24"/>
        </w:rPr>
      </w:pPr>
      <w:r>
        <w:rPr>
          <w:rFonts w:hint="eastAsia" w:ascii="宋体" w:hAnsi="宋体" w:cs="宋体"/>
          <w:b/>
          <w:color w:val="000000"/>
          <w:sz w:val="24"/>
        </w:rPr>
        <w:t xml:space="preserve">七、验收标准及要求</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2.货物交付后，在安装前应仔细检查货物自身无缺陷后方可安装，如果存在货物破损、自身材质、规格等质量缺陷，甲方有权要求将货物退场，由此引起的一切后果由乙方承担。</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4.乙方货物全部进场安装调试，并提供相关初步验收资料后 3日内，甲方组织验收并出具验收报告。如果设备的质量、规格与合同规定不符，或在质量保证期内发现货物是有缺陷的（包括潜在缺陷或使用不符合要求的材料）。</w:t>
      </w:r>
      <w:r/>
    </w:p>
    <w:p>
      <w:pPr>
        <w:pStyle w:val="134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rPr>
        <w:t xml:space="preserve">5.项目完成后，由采购人按照招标文件、响应文件内容，组织相关人员进行验收，并出具验收报告。采购人有权委托具备法定资质的检验机构对本项目产品进行抽检，如验</w:t>
      </w:r>
      <w:r>
        <w:rPr>
          <w:rFonts w:hint="eastAsia" w:ascii="宋体" w:hAnsi="宋体" w:cs="宋体"/>
          <w:color w:val="000000"/>
          <w:sz w:val="24"/>
          <w:szCs w:val="24"/>
          <w:highlight w:val="none"/>
        </w:rPr>
        <w:t xml:space="preserve">收不合格，无条件退货，并赔偿采购人相关损失。</w:t>
      </w:r>
      <w:r/>
    </w:p>
    <w:p>
      <w:pPr>
        <w:pStyle w:val="1346"/>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八、其他要求</w:t>
      </w:r>
      <w:r/>
    </w:p>
    <w:p>
      <w:pPr>
        <w:pStyle w:val="134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1.本章的加★部分均为实质性要求，不允许负偏离，如有负偏离作无效投标处理。采购需求中要求提供证明材料的，除明确说明是标后提供的外，其余均是指在投标文件中提供。</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highlight w:val="none"/>
        </w:rPr>
        <w:t xml:space="preserve">2.响应文件中的响应报价包括完成本次项目所需的全部货物和服务的报价，应包括所投产品及其备品、备</w:t>
      </w:r>
      <w:r>
        <w:rPr>
          <w:rFonts w:hint="eastAsia" w:ascii="宋体" w:hAnsi="宋体" w:cs="宋体"/>
          <w:color w:val="000000"/>
          <w:sz w:val="24"/>
          <w:szCs w:val="24"/>
        </w:rPr>
        <w:t xml:space="preserve">件、税费及包装、运至最终目的地的运输、保险、检测验收、售后服务与维保及相关劳务支出等工作所发生的全部费用以及投标人企业利润、税金和政策性文件规定及合同包含的所有风险、责任等各项应有费用。投标方自行考虑自主报价，投标报价内容包括：货物本身价格、配件、所有辅材、运输、装卸、人工、安装、产品损耗、验收评审、培训、售后服务、税费及产品交付使用过程中涉及的其他一切费用。一旦最终中标，总价将包定，不予调整。如发生漏、缺、少项，都将被认为是成交人的报价让利行为，损失自负。</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3.响应单位须在响应报价中对所要采购的全部内容进行响应，只投其中部分内容者，其响应文件将被拒绝，采购人除支付本次采购项目的成交金额外不再承担其他任何费用。</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中标人在交货时，货物的品牌型号必须与投标分项报价表保持一致，必须保证品牌正宗，原始包装并附有合格证、产品安装使用说明书等相关资料。特殊情况需要调整品牌型号数量的，双方协商后须报相关部门同意后方可调整。</w:t>
      </w:r>
      <w:r/>
    </w:p>
    <w:p>
      <w:pPr>
        <w:pStyle w:val="1346"/>
        <w:ind w:firstLine="48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九、落实政府采购需求标准</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pStyle w:val="134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rPr>
        <w:t xml:space="preserve">3.落实政府采购领域数字人民币政策：在政府采购履约保证金、代理服务费和货款</w:t>
      </w:r>
      <w:r>
        <w:rPr>
          <w:rFonts w:hint="eastAsia" w:ascii="宋体" w:hAnsi="宋体" w:cs="宋体"/>
          <w:color w:val="000000"/>
          <w:sz w:val="24"/>
          <w:szCs w:val="24"/>
          <w:highlight w:val="none"/>
        </w:rPr>
        <w:t xml:space="preserve">资金支付中，数字人民币作为支付方式之一。</w:t>
      </w:r>
      <w:r/>
    </w:p>
    <w:p>
      <w:pPr>
        <w:pStyle w:val="1346"/>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十</w:t>
      </w:r>
      <w:r>
        <w:rPr>
          <w:rFonts w:hint="eastAsia" w:ascii="宋体" w:hAnsi="宋体" w:cs="宋体"/>
          <w:b/>
          <w:bCs/>
          <w:color w:val="000000"/>
          <w:sz w:val="24"/>
          <w:szCs w:val="24"/>
          <w:highlight w:val="none"/>
        </w:rPr>
        <w:t xml:space="preserve">、落实商品包装、快递包装政府采购需求标准</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highlight w:val="none"/>
        </w:rPr>
        <w:t xml:space="preserve">商品包装</w:t>
      </w:r>
      <w:r>
        <w:rPr>
          <w:rFonts w:hint="eastAsia" w:ascii="宋体" w:hAnsi="宋体" w:cs="宋体"/>
          <w:color w:val="000000"/>
          <w:sz w:val="24"/>
          <w:szCs w:val="24"/>
        </w:rPr>
        <w:t xml:space="preserve">、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1.商品包装环保要求</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（1）商品包装层数不得超过3 层，空隙率不大于 40%； </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（2）商品包装尽可能使用单一材质的包装材料，如因功能需求必须使用不同材质，不同材质间应便于分离； </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（3）商品包装中铅、汞、镉、六价铬的总含量应不大于 100mg/kg； </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（4）商品包装印刷使用的油墨中挥发性有机化合物（VOCs） 含量应不大于 5%（以重量计）； </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（5）塑料材质商品包装上呈现的印刷颜色不得超过6 色； </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（6）纸质商品包装应使用75%以上的可再生纤维原料生产； </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（7）木质商品包装的原料应来源于可持续性森林。 </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注：检测方法 1.商品包装中重金属（铅、汞、镉、六价铬）总量的检 测按照 GB/T 10004-2008《包装用塑料复合膜、袋干法复合、挤出复合》规定的方法进行。 2.商品包装印刷使用的油墨中挥发性有机化合物（VOCs） 的检测按照 GB/T 23986-2009《色漆和清漆挥发性有机化合 物（VOC）含量的测定 气相色谱法》规定的方法。</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2.快递包装环保要求</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（1）快递包装中重金属（铅、汞、镉、六价铬）总量应不大于100mg/kg；</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（2）快递包装印刷使用的油墨中不应添加邻苯二甲酸酯，其挥发性有机化合物（VOCs）含量应不大于5%（以重量计）；</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（3）快递包装中使用纸基材的包装材料，纸基材中的有机氯的含量应不大于150 mg/kg；</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（5）快递中使用的塑料包装袋不得使用聚氯乙烯作为原料，且原料应为单一材质制成，生物分解率大于60%；</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（6）快递中使用的充气类填充物不得使用聚氯乙烯作为原料，且原料为单一材质制成，生物分解率大于60%；</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（7）快递中使用的集装袋应为单一材质制成，其重复使用次数应不小于80次；</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（8）快递中应使用幅宽不大于45mm的生物降解胶带；</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（9）快递包装中不得使用溶剂型</w:t>
      </w:r>
      <w:r>
        <w:rPr>
          <w:rFonts w:hint="eastAsia" w:ascii="宋体" w:hAnsi="宋体" w:cs="宋体"/>
          <w:color w:val="000000"/>
          <w:sz w:val="24"/>
          <w:szCs w:val="24"/>
          <w:lang w:eastAsia="zh-CN"/>
        </w:rPr>
        <w:t xml:space="preserve">胶黏剂</w:t>
      </w:r>
      <w:r>
        <w:rPr>
          <w:rFonts w:hint="eastAsia" w:ascii="宋体" w:hAnsi="宋体" w:cs="宋体"/>
          <w:color w:val="000000"/>
          <w:sz w:val="24"/>
          <w:szCs w:val="24"/>
        </w:rPr>
        <w:t xml:space="preserve">；</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（10）快递应使用电子面单；</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（11）直接使用商品包装作为快递包装的商品，其商品包装满足《商品包装政府采购需求标准（试行）》即可；</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（12）快递包装产品质量和封装方式应符合相关国家或行业标准技术指标要求。</w:t>
      </w:r>
      <w:r/>
    </w:p>
    <w:p>
      <w:pPr>
        <w:pStyle w:val="1346"/>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rPr>
        <w:t xml:space="preserve"> </w:t>
      </w:r>
      <w:r>
        <w:rPr>
          <w:rFonts w:hint="eastAsia" w:ascii="宋体" w:hAnsi="宋体" w:cs="宋体"/>
          <w:b/>
          <w:bCs/>
          <w:color w:val="000000"/>
          <w:sz w:val="24"/>
          <w:szCs w:val="24"/>
          <w:highlight w:val="none"/>
          <w:lang w:val="en-US" w:eastAsia="zh-CN"/>
        </w:rPr>
        <w:t xml:space="preserve">十一</w:t>
      </w:r>
      <w:r>
        <w:rPr>
          <w:rFonts w:hint="eastAsia" w:ascii="宋体" w:hAnsi="宋体" w:cs="宋体"/>
          <w:b/>
          <w:bCs/>
          <w:color w:val="000000"/>
          <w:sz w:val="24"/>
          <w:szCs w:val="24"/>
          <w:highlight w:val="none"/>
        </w:rPr>
        <w:t xml:space="preserve">、落实节能、环保产品政策</w:t>
      </w:r>
      <w:r/>
    </w:p>
    <w:p>
      <w:pPr>
        <w:pStyle w:val="1346"/>
        <w:ind w:firstLine="480"/>
        <w:spacing w:line="360" w:lineRule="auto"/>
        <w:rPr>
          <w:rFonts w:hint="eastAsia" w:ascii="宋体" w:hAnsi="宋体" w:cs="宋体"/>
          <w:color w:val="000000"/>
          <w:sz w:val="24"/>
          <w:szCs w:val="24"/>
        </w:rPr>
      </w:pPr>
      <w:r>
        <w:rPr>
          <w:rFonts w:hint="eastAsia" w:ascii="宋体" w:hAnsi="宋体" w:cs="宋体"/>
          <w:color w:val="000000"/>
          <w:sz w:val="24"/>
          <w:szCs w:val="24"/>
          <w:highlight w:val="none"/>
        </w:rPr>
        <w:t xml:space="preserve">对照财库</w:t>
      </w:r>
      <w:r>
        <w:rPr>
          <w:rFonts w:hint="eastAsia" w:ascii="宋体" w:hAnsi="宋体" w:cs="宋体"/>
          <w:color w:val="000000"/>
          <w:sz w:val="24"/>
          <w:szCs w:val="24"/>
        </w:rPr>
        <w:t xml:space="preserve">〔2019〕9号、财库〔2019〕19号文件规定，供应商所投产品属于强制采购产品的，应提供国家市场监督管理总局确定的列入“参与实施政府采购节能产品认证机构名录”内的认证机构出具的、有效期内的该产品的节能产品认证证书电子件，不满足以上要求的按无效标处理。</w:t>
      </w:r>
      <w:r/>
    </w:p>
    <w:p>
      <w:pPr>
        <w:pStyle w:val="1346"/>
        <w:jc w:val="center"/>
        <w:spacing w:line="360" w:lineRule="auto"/>
        <w:rPr>
          <w:rFonts w:hint="eastAsia" w:ascii="Times New Roman" w:hAnsi="Times New Roman"/>
          <w:b/>
          <w:sz w:val="44"/>
          <w:szCs w:val="44"/>
        </w:rPr>
      </w:pPr>
      <w:r/>
      <w:bookmarkStart w:id="138" w:name="_Toc16938559"/>
      <w:r/>
      <w:bookmarkStart w:id="139" w:name="_Toc513029243"/>
      <w:r/>
      <w:bookmarkStart w:id="140" w:name="_Toc20823315"/>
      <w:r/>
      <w:r/>
    </w:p>
    <w:p>
      <w:pPr>
        <w:pStyle w:val="1346"/>
        <w:jc w:val="center"/>
        <w:spacing w:line="360" w:lineRule="auto"/>
        <w:rPr>
          <w:rFonts w:hint="eastAsia" w:ascii="Times New Roman" w:hAnsi="Times New Roman"/>
          <w:b/>
          <w:sz w:val="44"/>
          <w:szCs w:val="44"/>
        </w:rPr>
      </w:pPr>
      <w:r>
        <w:rPr>
          <w:rFonts w:hint="eastAsia" w:ascii="Times New Roman" w:hAnsi="Times New Roman"/>
          <w:b/>
          <w:sz w:val="44"/>
          <w:szCs w:val="44"/>
        </w:rPr>
      </w:r>
      <w:r/>
    </w:p>
    <w:p>
      <w:pPr>
        <w:pStyle w:val="1346"/>
        <w:jc w:val="center"/>
        <w:spacing w:line="360" w:lineRule="auto"/>
        <w:rPr>
          <w:rFonts w:hint="eastAsia" w:ascii="Times New Roman" w:hAnsi="Times New Roman"/>
          <w:b/>
          <w:sz w:val="44"/>
          <w:szCs w:val="44"/>
        </w:rPr>
      </w:pPr>
      <w:r>
        <w:rPr>
          <w:rFonts w:hint="eastAsia" w:ascii="Times New Roman" w:hAnsi="Times New Roman"/>
          <w:b/>
          <w:sz w:val="44"/>
          <w:szCs w:val="44"/>
        </w:rPr>
      </w:r>
      <w:r/>
    </w:p>
    <w:p>
      <w:pPr>
        <w:pStyle w:val="1346"/>
        <w:jc w:val="center"/>
        <w:spacing w:line="360" w:lineRule="auto"/>
        <w:rPr>
          <w:rFonts w:hint="eastAsia" w:ascii="Times New Roman" w:hAnsi="Times New Roman"/>
          <w:b/>
          <w:bCs/>
          <w:sz w:val="44"/>
          <w:szCs w:val="44"/>
        </w:rPr>
      </w:pPr>
      <w:r>
        <w:rPr>
          <w:rFonts w:hint="eastAsia" w:ascii="Times New Roman" w:hAnsi="Times New Roman"/>
          <w:b/>
          <w:sz w:val="44"/>
          <w:szCs w:val="44"/>
        </w:rPr>
      </w:r>
      <w:r>
        <w:rPr>
          <w:rFonts w:hint="eastAsia" w:ascii="Times New Roman" w:hAnsi="Times New Roman"/>
          <w:b/>
          <w:sz w:val="44"/>
          <w:szCs w:val="44"/>
        </w:rPr>
      </w:r>
    </w:p>
    <w:p>
      <w:pPr>
        <w:pStyle w:val="1346"/>
        <w:jc w:val="center"/>
        <w:spacing w:line="360" w:lineRule="auto"/>
        <w:rPr>
          <w:rFonts w:hint="eastAsia" w:ascii="Times New Roman" w:hAnsi="Times New Roman"/>
          <w:b/>
          <w:bCs/>
          <w:sz w:val="44"/>
          <w:szCs w:val="44"/>
        </w:rPr>
      </w:pPr>
      <w:r>
        <w:rPr>
          <w:rFonts w:hint="eastAsia" w:ascii="Times New Roman" w:hAnsi="Times New Roman"/>
          <w:b/>
          <w:bCs/>
          <w:sz w:val="44"/>
          <w:szCs w:val="44"/>
        </w:rPr>
      </w:r>
      <w:r>
        <w:rPr>
          <w:rFonts w:hint="eastAsia" w:ascii="Times New Roman" w:hAnsi="Times New Roman"/>
          <w:b/>
          <w:bCs/>
          <w:sz w:val="44"/>
          <w:szCs w:val="44"/>
        </w:rPr>
      </w:r>
    </w:p>
    <w:p>
      <w:pPr>
        <w:pStyle w:val="1346"/>
        <w:jc w:val="center"/>
        <w:spacing w:line="360" w:lineRule="auto"/>
        <w:rPr>
          <w:rFonts w:hint="eastAsia" w:ascii="Times New Roman" w:hAnsi="Times New Roman"/>
          <w:b/>
          <w:bCs/>
          <w:sz w:val="44"/>
          <w:szCs w:val="44"/>
        </w:rPr>
      </w:pPr>
      <w:r>
        <w:rPr>
          <w:rFonts w:hint="eastAsia" w:ascii="Times New Roman" w:hAnsi="Times New Roman"/>
          <w:b/>
          <w:bCs/>
          <w:sz w:val="44"/>
          <w:szCs w:val="44"/>
        </w:rPr>
      </w:r>
      <w:r>
        <w:rPr>
          <w:rFonts w:hint="eastAsia" w:ascii="Times New Roman" w:hAnsi="Times New Roman"/>
          <w:b/>
          <w:bCs/>
          <w:sz w:val="44"/>
          <w:szCs w:val="44"/>
        </w:rPr>
      </w:r>
    </w:p>
    <w:p>
      <w:pPr>
        <w:pStyle w:val="1346"/>
        <w:jc w:val="center"/>
        <w:spacing w:line="360" w:lineRule="auto"/>
        <w:rPr>
          <w:rFonts w:hint="eastAsia" w:ascii="Times New Roman" w:hAnsi="Times New Roman"/>
          <w:b/>
          <w:bCs/>
          <w:sz w:val="44"/>
          <w:szCs w:val="44"/>
        </w:rPr>
      </w:pPr>
      <w:r>
        <w:rPr>
          <w:rFonts w:hint="eastAsia" w:ascii="Times New Roman" w:hAnsi="Times New Roman"/>
          <w:b/>
          <w:bCs/>
          <w:sz w:val="44"/>
          <w:szCs w:val="44"/>
        </w:rPr>
      </w:r>
      <w:r>
        <w:rPr>
          <w:rFonts w:hint="eastAsia" w:ascii="Times New Roman" w:hAnsi="Times New Roman"/>
          <w:b/>
          <w:bCs/>
          <w:sz w:val="44"/>
          <w:szCs w:val="44"/>
        </w:rPr>
      </w:r>
    </w:p>
    <w:p>
      <w:pPr>
        <w:pStyle w:val="1346"/>
        <w:jc w:val="center"/>
        <w:spacing w:line="360" w:lineRule="auto"/>
        <w:rPr>
          <w:rFonts w:hint="eastAsia" w:ascii="Times New Roman" w:hAnsi="Times New Roman"/>
          <w:b/>
          <w:bCs/>
          <w:sz w:val="44"/>
          <w:szCs w:val="44"/>
        </w:rPr>
      </w:pPr>
      <w:r>
        <w:rPr>
          <w:rFonts w:hint="eastAsia" w:ascii="Times New Roman" w:hAnsi="Times New Roman"/>
          <w:b/>
          <w:bCs/>
          <w:sz w:val="44"/>
          <w:szCs w:val="44"/>
        </w:rPr>
      </w:r>
      <w:r>
        <w:rPr>
          <w:rFonts w:hint="eastAsia" w:ascii="Times New Roman" w:hAnsi="Times New Roman"/>
          <w:b/>
          <w:bCs/>
          <w:sz w:val="44"/>
          <w:szCs w:val="44"/>
        </w:rPr>
      </w:r>
    </w:p>
    <w:p>
      <w:pPr>
        <w:pStyle w:val="1346"/>
        <w:jc w:val="center"/>
        <w:spacing w:line="360" w:lineRule="auto"/>
        <w:rPr>
          <w:rFonts w:hint="eastAsia" w:ascii="Times New Roman" w:hAnsi="Times New Roman"/>
          <w:b/>
          <w:bCs/>
          <w:sz w:val="44"/>
          <w:szCs w:val="44"/>
        </w:rPr>
      </w:pPr>
      <w:r>
        <w:rPr>
          <w:rFonts w:hint="eastAsia" w:ascii="Times New Roman" w:hAnsi="Times New Roman"/>
          <w:b/>
          <w:bCs/>
          <w:sz w:val="44"/>
          <w:szCs w:val="44"/>
        </w:rPr>
      </w:r>
      <w:r>
        <w:rPr>
          <w:rFonts w:hint="eastAsia" w:ascii="Times New Roman" w:hAnsi="Times New Roman"/>
          <w:b/>
          <w:bCs/>
          <w:sz w:val="44"/>
          <w:szCs w:val="44"/>
        </w:rPr>
      </w:r>
    </w:p>
    <w:p>
      <w:pPr>
        <w:pStyle w:val="1346"/>
        <w:jc w:val="center"/>
        <w:spacing w:line="360" w:lineRule="auto"/>
        <w:rPr>
          <w:rFonts w:hint="eastAsia" w:ascii="Times New Roman" w:hAnsi="Times New Roman"/>
          <w:b/>
          <w:bCs/>
          <w:sz w:val="44"/>
          <w:szCs w:val="44"/>
        </w:rPr>
      </w:pPr>
      <w:r>
        <w:rPr>
          <w:rFonts w:hint="eastAsia" w:ascii="Times New Roman" w:hAnsi="Times New Roman"/>
          <w:b/>
          <w:bCs/>
          <w:sz w:val="44"/>
          <w:szCs w:val="44"/>
        </w:rPr>
      </w:r>
      <w:r>
        <w:rPr>
          <w:rFonts w:hint="eastAsia" w:ascii="Times New Roman" w:hAnsi="Times New Roman"/>
          <w:b/>
          <w:bCs/>
          <w:sz w:val="44"/>
          <w:szCs w:val="44"/>
        </w:rPr>
      </w:r>
    </w:p>
    <w:p>
      <w:pPr>
        <w:pStyle w:val="1346"/>
        <w:jc w:val="center"/>
        <w:spacing w:line="360" w:lineRule="auto"/>
        <w:rPr>
          <w:rFonts w:hint="eastAsia" w:ascii="Times New Roman" w:hAnsi="Times New Roman"/>
          <w:b/>
          <w:bCs/>
          <w:sz w:val="44"/>
          <w:szCs w:val="44"/>
        </w:rPr>
      </w:pPr>
      <w:r>
        <w:rPr>
          <w:rFonts w:hint="eastAsia" w:ascii="Times New Roman" w:hAnsi="Times New Roman"/>
          <w:b/>
          <w:bCs/>
          <w:sz w:val="44"/>
          <w:szCs w:val="44"/>
        </w:rPr>
      </w:r>
      <w:r>
        <w:rPr>
          <w:rFonts w:hint="eastAsia" w:ascii="Times New Roman" w:hAnsi="Times New Roman"/>
          <w:b/>
          <w:bCs/>
          <w:sz w:val="44"/>
          <w:szCs w:val="44"/>
        </w:rPr>
      </w:r>
    </w:p>
    <w:p>
      <w:pPr>
        <w:pStyle w:val="1346"/>
        <w:jc w:val="center"/>
        <w:spacing w:line="360" w:lineRule="auto"/>
        <w:rPr>
          <w:rFonts w:hint="eastAsia" w:ascii="Times New Roman" w:hAnsi="Times New Roman"/>
          <w:b/>
          <w:bCs/>
          <w:sz w:val="44"/>
          <w:szCs w:val="44"/>
        </w:rPr>
      </w:pPr>
      <w:r>
        <w:rPr>
          <w:rFonts w:hint="eastAsia" w:ascii="Times New Roman" w:hAnsi="Times New Roman"/>
          <w:b/>
          <w:bCs/>
          <w:sz w:val="44"/>
          <w:szCs w:val="44"/>
        </w:rPr>
      </w:r>
      <w:r>
        <w:rPr>
          <w:rFonts w:hint="eastAsia" w:ascii="Times New Roman" w:hAnsi="Times New Roman"/>
          <w:b/>
          <w:bCs/>
          <w:sz w:val="44"/>
          <w:szCs w:val="44"/>
        </w:rPr>
      </w:r>
    </w:p>
    <w:p>
      <w:pPr>
        <w:pStyle w:val="1346"/>
        <w:jc w:val="center"/>
        <w:spacing w:line="360" w:lineRule="auto"/>
        <w:rPr>
          <w:rFonts w:hint="eastAsia" w:ascii="Times New Roman" w:hAnsi="Times New Roman"/>
          <w:b/>
          <w:bCs/>
          <w:sz w:val="44"/>
          <w:szCs w:val="44"/>
        </w:rPr>
      </w:pPr>
      <w:r>
        <w:rPr>
          <w:rFonts w:hint="eastAsia" w:ascii="Times New Roman" w:hAnsi="Times New Roman"/>
          <w:b/>
          <w:bCs/>
          <w:sz w:val="44"/>
          <w:szCs w:val="44"/>
        </w:rPr>
      </w:r>
      <w:r>
        <w:rPr>
          <w:rFonts w:hint="eastAsia" w:ascii="Times New Roman" w:hAnsi="Times New Roman"/>
          <w:b/>
          <w:bCs/>
          <w:sz w:val="44"/>
          <w:szCs w:val="44"/>
        </w:rPr>
      </w:r>
    </w:p>
    <w:p>
      <w:pPr>
        <w:pStyle w:val="1346"/>
        <w:jc w:val="center"/>
        <w:spacing w:line="360" w:lineRule="auto"/>
        <w:rPr>
          <w:rFonts w:hint="eastAsia" w:ascii="Times New Roman" w:hAnsi="Times New Roman"/>
          <w:b/>
          <w:bCs/>
          <w:sz w:val="44"/>
          <w:szCs w:val="44"/>
        </w:rPr>
      </w:pPr>
      <w:r>
        <w:rPr>
          <w:rFonts w:hint="eastAsia" w:ascii="Times New Roman" w:hAnsi="Times New Roman"/>
          <w:b/>
          <w:sz w:val="44"/>
          <w:szCs w:val="44"/>
        </w:rPr>
      </w:r>
      <w:r/>
    </w:p>
    <w:p>
      <w:pPr>
        <w:pStyle w:val="1346"/>
        <w:jc w:val="center"/>
        <w:spacing w:line="360" w:lineRule="auto"/>
        <w:rPr>
          <w:rFonts w:hint="eastAsia" w:ascii="Times New Roman" w:hAnsi="Times New Roman"/>
          <w:b/>
          <w:sz w:val="44"/>
          <w:szCs w:val="44"/>
        </w:rPr>
      </w:pPr>
      <w:r>
        <w:rPr>
          <w:rFonts w:hint="eastAsia" w:ascii="Times New Roman" w:hAnsi="Times New Roman"/>
          <w:b/>
          <w:sz w:val="44"/>
          <w:szCs w:val="44"/>
        </w:rPr>
      </w:r>
      <w:r/>
    </w:p>
    <w:p>
      <w:pPr>
        <w:pStyle w:val="1346"/>
        <w:jc w:val="center"/>
        <w:spacing w:line="360" w:lineRule="auto"/>
        <w:rPr>
          <w:rFonts w:ascii="Times New Roman" w:hAnsi="Times New Roman"/>
          <w:b/>
          <w:sz w:val="44"/>
          <w:szCs w:val="44"/>
        </w:rPr>
      </w:pPr>
      <w:r>
        <w:rPr>
          <w:rFonts w:hint="eastAsia" w:ascii="Times New Roman" w:hAnsi="Times New Roman"/>
          <w:b/>
          <w:sz w:val="44"/>
          <w:szCs w:val="44"/>
        </w:rPr>
        <w:t xml:space="preserve">第五章</w:t>
      </w:r>
      <w:r>
        <w:rPr>
          <w:rFonts w:ascii="Times New Roman" w:hAnsi="Times New Roman"/>
          <w:b/>
          <w:sz w:val="44"/>
          <w:szCs w:val="44"/>
        </w:rPr>
        <w:t xml:space="preserve">  </w:t>
      </w:r>
      <w:r>
        <w:rPr>
          <w:rFonts w:hint="eastAsia" w:ascii="Times New Roman" w:hAnsi="Times New Roman"/>
          <w:b/>
          <w:sz w:val="44"/>
          <w:szCs w:val="44"/>
        </w:rPr>
        <w:t xml:space="preserve">合同文本</w:t>
      </w:r>
      <w:r/>
    </w:p>
    <w:p>
      <w:pPr>
        <w:ind w:firstLine="480"/>
        <w:spacing w:line="500" w:lineRule="exact"/>
        <w:rPr>
          <w:rFonts w:hint="eastAsia" w:ascii="宋体" w:hAnsi="宋体" w:cs="宋体"/>
          <w:bCs/>
          <w:sz w:val="24"/>
          <w:szCs w:val="21"/>
        </w:rPr>
      </w:pPr>
      <w:r>
        <w:rPr>
          <w:rFonts w:hint="eastAsia" w:ascii="宋体" w:hAnsi="宋体" w:cs="宋体"/>
          <w:bCs/>
          <w:sz w:val="24"/>
          <w:szCs w:val="21"/>
        </w:rPr>
        <w:t xml:space="preserve">以下为中标后签订本项目合同的通用条款，投标人不得提出实质性的修改。</w:t>
      </w:r>
      <w:r/>
    </w:p>
    <w:p>
      <w:pPr>
        <w:ind w:firstLine="480"/>
        <w:spacing w:line="500" w:lineRule="exact"/>
        <w:rPr>
          <w:rFonts w:hint="eastAsia" w:ascii="宋体" w:hAnsi="宋体" w:cs="宋体"/>
          <w:bCs/>
          <w:sz w:val="24"/>
          <w:szCs w:val="21"/>
        </w:rPr>
      </w:pPr>
      <w:r>
        <w:rPr>
          <w:rFonts w:hint="eastAsia" w:ascii="宋体" w:hAnsi="宋体" w:cs="宋体"/>
          <w:bCs/>
          <w:sz w:val="24"/>
          <w:szCs w:val="21"/>
        </w:rPr>
        <w:t xml:space="preserve">关于专用条款将由采购人与投标人结合本项目具体情况协商后签订。</w:t>
      </w:r>
      <w:bookmarkEnd w:id="138"/>
      <w:r/>
      <w:bookmarkEnd w:id="139"/>
      <w:r/>
      <w:bookmarkEnd w:id="140"/>
      <w:r/>
      <w:r/>
    </w:p>
    <w:p>
      <w:pPr>
        <w:jc w:val="center"/>
        <w:widowControl/>
        <w:rPr>
          <w:rFonts w:hint="eastAsia" w:ascii="宋体" w:hAnsi="宋体" w:cs="宋体"/>
          <w:b/>
          <w:sz w:val="28"/>
          <w:szCs w:val="28"/>
        </w:rPr>
      </w:pPr>
      <w:r/>
      <w:bookmarkStart w:id="141" w:name="_Hlt16619369"/>
      <w:r/>
      <w:bookmarkEnd w:id="141"/>
      <w:r/>
      <w:bookmarkStart w:id="142" w:name="_Toc81575207"/>
      <w:r/>
      <w:bookmarkStart w:id="143" w:name="_Toc22853"/>
      <w:r/>
      <w:bookmarkStart w:id="144" w:name="_Toc81575170"/>
      <w:r/>
      <w:bookmarkStart w:id="145" w:name="_Toc19649"/>
      <w:r/>
      <w:bookmarkStart w:id="146" w:name="_Toc9003"/>
      <w:r>
        <w:rPr>
          <w:rFonts w:hint="eastAsia" w:ascii="宋体" w:hAnsi="宋体" w:cs="宋体"/>
          <w:b/>
          <w:spacing w:val="-2"/>
          <w:sz w:val="28"/>
          <w:szCs w:val="28"/>
        </w:rPr>
        <w:t xml:space="preserve">沭阳县智慧康养及托幼实训基地项目合同协议书</w:t>
      </w:r>
      <w:r/>
    </w:p>
    <w:p>
      <w:pPr>
        <w:rPr>
          <w:rFonts w:hint="eastAsia" w:ascii="宋体" w:hAnsi="宋体" w:cs="宋体"/>
          <w:sz w:val="28"/>
          <w:szCs w:val="28"/>
        </w:rPr>
      </w:pPr>
      <w:r>
        <w:rPr>
          <w:rFonts w:hint="eastAsia" w:ascii="宋体" w:hAnsi="宋体" w:cs="宋体"/>
          <w:sz w:val="28"/>
          <w:szCs w:val="28"/>
        </w:rPr>
      </w:r>
      <w:r/>
    </w:p>
    <w:p>
      <w:pPr>
        <w:jc w:val="left"/>
        <w:spacing w:line="480" w:lineRule="exact"/>
        <w:rPr>
          <w:rFonts w:hint="eastAsia" w:ascii="宋体" w:hAnsi="宋体" w:cs="宋体"/>
          <w:b/>
          <w:spacing w:val="-6"/>
          <w:sz w:val="24"/>
          <w:szCs w:val="24"/>
        </w:rPr>
      </w:pPr>
      <w:r>
        <w:rPr>
          <w:rFonts w:hint="eastAsia" w:ascii="宋体" w:hAnsi="宋体" w:cs="宋体"/>
          <w:b/>
          <w:spacing w:val="-6"/>
          <w:sz w:val="24"/>
          <w:szCs w:val="24"/>
        </w:rPr>
        <w:t xml:space="preserve">发包人（全称）江苏沭阳中等专业学校（简称甲方）</w:t>
      </w:r>
      <w:r/>
    </w:p>
    <w:p>
      <w:pPr>
        <w:jc w:val="left"/>
        <w:spacing w:line="480" w:lineRule="exact"/>
        <w:rPr>
          <w:rFonts w:hint="eastAsia" w:ascii="宋体" w:hAnsi="宋体" w:cs="宋体"/>
          <w:b/>
          <w:spacing w:val="-6"/>
          <w:sz w:val="24"/>
          <w:szCs w:val="24"/>
        </w:rPr>
      </w:pPr>
      <w:r>
        <w:rPr>
          <w:rFonts w:hint="eastAsia" w:ascii="宋体" w:hAnsi="宋体" w:cs="宋体"/>
          <w:b/>
          <w:spacing w:val="-6"/>
          <w:sz w:val="24"/>
          <w:szCs w:val="24"/>
        </w:rPr>
        <w:t xml:space="preserve">承包人（全称）</w:t>
      </w:r>
      <w:r>
        <w:rPr>
          <w:rFonts w:hint="eastAsia" w:ascii="宋体" w:hAnsi="宋体" w:cs="宋体"/>
          <w:b/>
          <w:spacing w:val="-6"/>
          <w:sz w:val="24"/>
          <w:szCs w:val="24"/>
          <w:u w:val="single"/>
        </w:rPr>
        <w:t xml:space="preserve">                       </w:t>
      </w:r>
      <w:r>
        <w:rPr>
          <w:rFonts w:hint="eastAsia" w:ascii="宋体" w:hAnsi="宋体" w:cs="宋体"/>
          <w:b/>
          <w:spacing w:val="-6"/>
          <w:sz w:val="24"/>
          <w:szCs w:val="24"/>
        </w:rPr>
        <w:t xml:space="preserve">（简称乙方）</w:t>
      </w:r>
      <w:r/>
    </w:p>
    <w:p>
      <w:pPr>
        <w:ind w:firstLine="458"/>
        <w:jc w:val="left"/>
        <w:spacing w:line="480" w:lineRule="exact"/>
        <w:rPr>
          <w:rFonts w:hint="eastAsia" w:ascii="宋体" w:hAnsi="宋体" w:cs="宋体"/>
          <w:b/>
          <w:spacing w:val="-6"/>
          <w:sz w:val="24"/>
          <w:szCs w:val="24"/>
        </w:rPr>
      </w:pPr>
      <w:r>
        <w:rPr>
          <w:rFonts w:hint="eastAsia" w:ascii="宋体" w:hAnsi="宋体" w:cs="宋体"/>
          <w:b/>
          <w:spacing w:val="-6"/>
          <w:sz w:val="24"/>
          <w:szCs w:val="24"/>
        </w:rPr>
        <w:t xml:space="preserve">依照《中华人民共和国政府采购法》《中华人民共和国民法典》《中华人民共和国建筑法》</w:t>
      </w:r>
      <w:r>
        <w:rPr>
          <w:rFonts w:hint="eastAsia" w:ascii="宋体" w:hAnsi="宋体" w:cs="宋体"/>
          <w:b/>
          <w:spacing w:val="-1"/>
          <w:sz w:val="24"/>
          <w:szCs w:val="24"/>
        </w:rPr>
        <w:t xml:space="preserve">及其他有关法律、行政法规，遵循平等、自愿、公平和诚实信用的原则，双方就</w:t>
      </w:r>
      <w:r>
        <w:rPr>
          <w:rFonts w:hint="eastAsia" w:ascii="宋体" w:hAnsi="宋体" w:cs="宋体"/>
          <w:b/>
          <w:spacing w:val="-1"/>
          <w:sz w:val="24"/>
          <w:szCs w:val="24"/>
          <w:u w:val="single"/>
        </w:rPr>
        <w:t xml:space="preserve">沭阳县智慧康养及托幼实训基地项目</w:t>
      </w:r>
      <w:r>
        <w:rPr>
          <w:rFonts w:hint="eastAsia" w:ascii="宋体" w:hAnsi="宋体" w:cs="宋体"/>
          <w:b/>
          <w:spacing w:val="-1"/>
          <w:sz w:val="24"/>
          <w:szCs w:val="24"/>
        </w:rPr>
        <w:t xml:space="preserve">相关事项协商一致，订立以下</w:t>
      </w:r>
      <w:r>
        <w:rPr>
          <w:rFonts w:hint="eastAsia" w:ascii="宋体" w:hAnsi="宋体" w:cs="宋体"/>
          <w:b/>
          <w:spacing w:val="-2"/>
          <w:sz w:val="24"/>
          <w:szCs w:val="24"/>
        </w:rPr>
        <w:t xml:space="preserve">合同条款：</w:t>
      </w:r>
      <w:r/>
    </w:p>
    <w:p>
      <w:pPr>
        <w:ind w:firstLine="590"/>
        <w:spacing w:line="480" w:lineRule="exact"/>
        <w:rPr>
          <w:rFonts w:hint="eastAsia" w:ascii="宋体" w:hAnsi="宋体" w:cs="宋体"/>
          <w:b/>
          <w:bCs/>
          <w:spacing w:val="-1"/>
          <w:sz w:val="24"/>
          <w:szCs w:val="24"/>
        </w:rPr>
      </w:pPr>
      <w:r>
        <w:rPr>
          <w:rFonts w:hint="eastAsia" w:ascii="宋体" w:hAnsi="宋体" w:cs="宋体"/>
          <w:b/>
          <w:bCs/>
          <w:spacing w:val="-1"/>
          <w:sz w:val="24"/>
          <w:szCs w:val="24"/>
        </w:rPr>
        <w:t xml:space="preserve">一、乙方向甲方提供总价值为</w:t>
      </w:r>
      <w:r>
        <w:rPr>
          <w:rFonts w:hint="eastAsia" w:ascii="宋体" w:hAnsi="宋体" w:cs="宋体"/>
          <w:b/>
          <w:bCs/>
          <w:spacing w:val="-1"/>
          <w:sz w:val="24"/>
          <w:szCs w:val="24"/>
          <w:u w:val="single"/>
        </w:rPr>
        <w:t xml:space="preserve">         元整（     元）</w:t>
      </w:r>
      <w:r>
        <w:rPr>
          <w:rFonts w:hint="eastAsia" w:ascii="宋体" w:hAnsi="宋体" w:cs="宋体"/>
          <w:b/>
          <w:bCs/>
          <w:spacing w:val="-1"/>
          <w:sz w:val="24"/>
          <w:szCs w:val="24"/>
        </w:rPr>
        <w:t xml:space="preserve">的标的货物和服务。</w:t>
      </w:r>
      <w:r/>
    </w:p>
    <w:p>
      <w:pPr>
        <w:jc w:val="center"/>
        <w:spacing w:after="120" w:line="480" w:lineRule="exact"/>
        <w:rPr>
          <w:rFonts w:hint="eastAsia" w:ascii="宋体" w:hAnsi="宋体" w:cs="宋体"/>
          <w:b/>
          <w:bCs/>
          <w:spacing w:val="-1"/>
          <w:sz w:val="24"/>
          <w:szCs w:val="24"/>
        </w:rPr>
      </w:pPr>
      <w:r>
        <w:rPr>
          <w:rFonts w:hint="eastAsia" w:ascii="宋体" w:hAnsi="宋体" w:cs="宋体"/>
          <w:b/>
          <w:bCs/>
          <w:spacing w:val="-1"/>
          <w:sz w:val="24"/>
          <w:szCs w:val="24"/>
        </w:rPr>
        <w:t xml:space="preserve">标的清单</w:t>
      </w:r>
      <w:r/>
    </w:p>
    <w:tbl>
      <w:tblPr>
        <w:tblStyle w:val="875"/>
        <w:tblW w:w="9480" w:type="dxa"/>
        <w:tblCellSpacing w:w="0" w:type="dxa"/>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727"/>
        <w:gridCol w:w="2148"/>
        <w:gridCol w:w="1197"/>
        <w:gridCol w:w="749"/>
        <w:gridCol w:w="915"/>
        <w:gridCol w:w="1008"/>
        <w:gridCol w:w="1046"/>
      </w:tblGrid>
      <w:tr>
        <w:trPr>
          <w:tblCellSpacing w:w="0" w:type="dxa"/>
          <w:trHeight w:val="108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8"/>
                <w:szCs w:val="28"/>
              </w:rPr>
              <w:t xml:space="preserve">货物名称</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8"/>
                <w:szCs w:val="28"/>
              </w:rPr>
              <w:t xml:space="preserve">品牌。型号。产地</w:t>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8"/>
                <w:szCs w:val="28"/>
              </w:rPr>
              <w:t xml:space="preserve">单价</w:t>
            </w:r>
            <w:r/>
          </w:p>
          <w:p>
            <w:pPr>
              <w:jc w:val="center"/>
              <w:spacing w:line="0" w:lineRule="atLeast"/>
              <w:widowControl/>
              <w:rPr>
                <w:rFonts w:hint="eastAsia" w:ascii="宋体" w:hAnsi="宋体" w:cs="宋体"/>
                <w:sz w:val="24"/>
              </w:rPr>
            </w:pPr>
            <w:r>
              <w:rPr>
                <w:rFonts w:hint="eastAsia" w:ascii="宋体" w:hAnsi="宋体" w:cs="宋体"/>
                <w:sz w:val="28"/>
                <w:szCs w:val="28"/>
              </w:rPr>
              <w:t xml:space="preserve">（元）</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8"/>
                <w:szCs w:val="28"/>
              </w:rPr>
              <w:t xml:space="preserve">数量</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widowControl/>
              <w:rPr>
                <w:rFonts w:hint="eastAsia" w:ascii="宋体" w:hAnsi="宋体" w:cs="宋体"/>
                <w:sz w:val="28"/>
                <w:szCs w:val="28"/>
              </w:rPr>
            </w:pPr>
            <w:r>
              <w:rPr>
                <w:rFonts w:hint="eastAsia" w:ascii="宋体" w:hAnsi="宋体" w:cs="宋体"/>
                <w:sz w:val="28"/>
                <w:szCs w:val="28"/>
              </w:rPr>
              <w:t xml:space="preserve">单位</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8"/>
                <w:szCs w:val="28"/>
              </w:rPr>
              <w:t xml:space="preserve">合计</w:t>
            </w:r>
            <w:r/>
          </w:p>
          <w:p>
            <w:pPr>
              <w:jc w:val="center"/>
              <w:spacing w:line="0" w:lineRule="atLeast"/>
              <w:widowControl/>
              <w:rPr>
                <w:rFonts w:hint="eastAsia" w:ascii="宋体" w:hAnsi="宋体" w:cs="宋体"/>
                <w:sz w:val="24"/>
              </w:rPr>
            </w:pPr>
            <w:r>
              <w:rPr>
                <w:rFonts w:hint="eastAsia" w:ascii="宋体" w:hAnsi="宋体" w:cs="宋体"/>
                <w:sz w:val="28"/>
                <w:szCs w:val="28"/>
              </w:rPr>
              <w:t xml:space="preserve">（元）</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8"/>
                <w:szCs w:val="28"/>
              </w:rPr>
              <w:t xml:space="preserve">备注</w:t>
            </w:r>
            <w:r/>
          </w:p>
        </w:tc>
      </w:tr>
      <w:tr>
        <w:trPr>
          <w:tblCellSpacing w:w="0" w:type="dxa"/>
          <w:trHeight w:val="487"/>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8"/>
                <w:szCs w:val="28"/>
              </w:rPr>
              <w:t xml:space="preserve">1</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spacing w:line="0" w:lineRule="atLeast"/>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0" w:lineRule="atLeast"/>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spacing w:line="0" w:lineRule="atLeast"/>
              <w:rPr>
                <w:rFonts w:hint="eastAsia" w:ascii="宋体" w:hAnsi="宋体" w:cs="宋体"/>
                <w:sz w:val="24"/>
              </w:rPr>
            </w:pPr>
            <w:r>
              <w:rPr>
                <w:rFonts w:hint="eastAsia" w:ascii="宋体" w:hAnsi="宋体" w:cs="宋体"/>
                <w:sz w:val="24"/>
              </w:rPr>
              <w:t xml:space="preserve"> </w:t>
            </w:r>
            <w:r/>
          </w:p>
        </w:tc>
      </w:tr>
      <w:tr>
        <w:trPr>
          <w:tblCellSpacing w:w="0" w:type="dxa"/>
          <w:trHeight w:val="384"/>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8"/>
                <w:szCs w:val="28"/>
              </w:rPr>
              <w:t xml:space="preserve">2</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spacing w:line="0" w:lineRule="atLeast"/>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0" w:lineRule="atLeast"/>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spacing w:line="0" w:lineRule="atLeast"/>
              <w:rPr>
                <w:rFonts w:hint="eastAsia" w:ascii="宋体" w:hAnsi="宋体" w:cs="宋体"/>
                <w:sz w:val="24"/>
              </w:rPr>
            </w:pPr>
            <w:r>
              <w:rPr>
                <w:rFonts w:hint="eastAsia" w:ascii="宋体" w:hAnsi="宋体" w:cs="宋体"/>
                <w:sz w:val="24"/>
              </w:rPr>
              <w:t xml:space="preserve"> </w:t>
            </w:r>
            <w:r/>
          </w:p>
        </w:tc>
      </w:tr>
      <w:tr>
        <w:trPr>
          <w:tblCellSpacing w:w="0" w:type="dxa"/>
          <w:trHeight w:val="372"/>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spacing w:line="0" w:lineRule="atLeast"/>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0" w:lineRule="atLeast"/>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spacing w:line="0" w:lineRule="atLeast"/>
              <w:rPr>
                <w:rFonts w:hint="eastAsia" w:ascii="宋体" w:hAnsi="宋体" w:cs="宋体"/>
                <w:sz w:val="24"/>
              </w:rPr>
            </w:pPr>
            <w:r>
              <w:rPr>
                <w:rFonts w:hint="eastAsia" w:ascii="宋体" w:hAnsi="宋体" w:cs="宋体"/>
                <w:sz w:val="24"/>
              </w:rPr>
              <w:t xml:space="preserve"> </w:t>
            </w:r>
            <w:r/>
          </w:p>
        </w:tc>
      </w:tr>
      <w:tr>
        <w:trPr>
          <w:tblCellSpacing w:w="0" w:type="dxa"/>
          <w:trHeight w:val="1392"/>
        </w:trPr>
        <w:tc>
          <w:tcPr>
            <w:gridSpan w:val="2"/>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spacing w:line="0" w:lineRule="atLeast"/>
              <w:rPr>
                <w:rFonts w:hint="eastAsia" w:ascii="宋体" w:hAnsi="宋体" w:cs="宋体"/>
                <w:sz w:val="24"/>
              </w:rPr>
            </w:pPr>
            <w:r>
              <w:rPr>
                <w:rFonts w:hint="eastAsia" w:ascii="宋体" w:hAnsi="宋体" w:cs="宋体"/>
                <w:b/>
                <w:bCs/>
                <w:sz w:val="28"/>
                <w:szCs w:val="28"/>
              </w:rPr>
              <w:t xml:space="preserve">报价总计</w:t>
            </w:r>
            <w:r/>
          </w:p>
        </w:tc>
        <w:tc>
          <w:tcPr>
            <w:gridSpan w:val="6"/>
            <w:tcBorders>
              <w:top w:val="single" w:color="000000" w:sz="4" w:space="0"/>
              <w:left w:val="single" w:color="000000" w:sz="4" w:space="0"/>
              <w:bottom w:val="single" w:color="000000" w:sz="4" w:space="0"/>
              <w:right w:val="single" w:color="000000" w:sz="4" w:space="0"/>
            </w:tcBorders>
            <w:tcW w:w="7063" w:type="dxa"/>
            <w:vAlign w:val="center"/>
            <w:textDirection w:val="lrTb"/>
            <w:noWrap w:val="false"/>
          </w:tcPr>
          <w:p>
            <w:pPr>
              <w:spacing w:line="0" w:lineRule="atLeast"/>
              <w:rPr>
                <w:rFonts w:hint="eastAsia" w:ascii="宋体" w:hAnsi="宋体" w:cs="宋体"/>
                <w:sz w:val="24"/>
              </w:rPr>
            </w:pPr>
            <w:r>
              <w:rPr>
                <w:rFonts w:hint="eastAsia" w:ascii="宋体" w:hAnsi="宋体" w:cs="宋体"/>
                <w:b/>
                <w:bCs/>
                <w:sz w:val="24"/>
                <w:szCs w:val="24"/>
              </w:rPr>
              <w:t xml:space="preserve">￥</w:t>
            </w:r>
            <w:r/>
          </w:p>
          <w:p>
            <w:pPr>
              <w:spacing w:line="0" w:lineRule="atLeast"/>
              <w:rPr>
                <w:rFonts w:hint="eastAsia" w:ascii="宋体" w:hAnsi="宋体" w:cs="宋体"/>
                <w:sz w:val="24"/>
              </w:rPr>
            </w:pPr>
            <w:r>
              <w:rPr>
                <w:rFonts w:hint="eastAsia" w:ascii="宋体" w:hAnsi="宋体" w:cs="宋体"/>
                <w:b/>
                <w:bCs/>
                <w:sz w:val="24"/>
                <w:szCs w:val="24"/>
              </w:rPr>
              <w:t xml:space="preserve">人民币（大写）：</w:t>
            </w:r>
            <w:r/>
          </w:p>
        </w:tc>
      </w:tr>
    </w:tbl>
    <w:p>
      <w:pPr>
        <w:ind w:firstLine="476"/>
        <w:jc w:val="left"/>
        <w:spacing w:line="440" w:lineRule="exact"/>
        <w:rPr>
          <w:rFonts w:hint="eastAsia" w:ascii="宋体" w:hAnsi="宋体" w:cs="宋体"/>
          <w:spacing w:val="-1"/>
          <w:sz w:val="24"/>
          <w:szCs w:val="24"/>
        </w:rPr>
      </w:pPr>
      <w:r>
        <w:rPr>
          <w:rFonts w:hint="eastAsia" w:ascii="宋体" w:hAnsi="宋体" w:cs="宋体"/>
          <w:spacing w:val="-1"/>
          <w:sz w:val="24"/>
          <w:szCs w:val="24"/>
        </w:rPr>
      </w:r>
      <w:r/>
    </w:p>
    <w:p>
      <w:pPr>
        <w:ind w:firstLine="476"/>
        <w:jc w:val="left"/>
        <w:spacing w:line="480" w:lineRule="exact"/>
        <w:rPr>
          <w:rFonts w:hint="eastAsia" w:ascii="宋体" w:hAnsi="宋体" w:cs="宋体"/>
          <w:b/>
          <w:bCs/>
          <w:spacing w:val="-1"/>
          <w:sz w:val="24"/>
          <w:szCs w:val="24"/>
        </w:rPr>
      </w:pPr>
      <w:r>
        <w:rPr>
          <w:rFonts w:hint="eastAsia" w:ascii="宋体" w:hAnsi="宋体" w:cs="宋体"/>
          <w:b/>
          <w:bCs/>
          <w:spacing w:val="-1"/>
          <w:sz w:val="24"/>
          <w:szCs w:val="24"/>
        </w:rPr>
        <w:t xml:space="preserve">二、合同工期</w:t>
      </w:r>
      <w:r/>
    </w:p>
    <w:p>
      <w:pPr>
        <w:ind w:firstLine="476"/>
        <w:jc w:val="left"/>
        <w:spacing w:line="480" w:lineRule="exact"/>
        <w:rPr>
          <w:rFonts w:hint="eastAsia" w:ascii="宋体" w:hAnsi="宋体" w:cs="宋体"/>
          <w:spacing w:val="-1"/>
          <w:sz w:val="24"/>
          <w:szCs w:val="24"/>
        </w:rPr>
      </w:pPr>
      <w:r>
        <w:rPr>
          <w:rFonts w:hint="eastAsia" w:ascii="宋体" w:hAnsi="宋体" w:cs="宋体"/>
          <w:spacing w:val="-1"/>
          <w:sz w:val="24"/>
          <w:szCs w:val="24"/>
        </w:rPr>
        <w:t xml:space="preserve">开工日期：2026年__月__日（具体开工日期以发包人发出开工通知书为准）</w:t>
      </w:r>
      <w:r/>
    </w:p>
    <w:p>
      <w:pPr>
        <w:ind w:firstLine="476"/>
        <w:jc w:val="left"/>
        <w:spacing w:line="480" w:lineRule="exact"/>
        <w:rPr>
          <w:rFonts w:hint="eastAsia" w:ascii="宋体" w:hAnsi="宋体" w:cs="宋体"/>
          <w:spacing w:val="-1"/>
          <w:sz w:val="24"/>
          <w:szCs w:val="24"/>
        </w:rPr>
      </w:pPr>
      <w:r>
        <w:rPr>
          <w:rFonts w:hint="eastAsia" w:ascii="宋体" w:hAnsi="宋体" w:cs="宋体"/>
          <w:spacing w:val="-1"/>
          <w:sz w:val="24"/>
          <w:szCs w:val="24"/>
        </w:rPr>
        <w:t xml:space="preserve">竣工日期：2026年__月__日</w:t>
      </w:r>
      <w:r/>
    </w:p>
    <w:p>
      <w:pPr>
        <w:ind w:firstLine="472"/>
        <w:jc w:val="left"/>
        <w:spacing w:line="480" w:lineRule="exact"/>
        <w:rPr>
          <w:rFonts w:hint="eastAsia" w:ascii="宋体" w:hAnsi="宋体" w:cs="宋体"/>
          <w:sz w:val="24"/>
          <w:szCs w:val="24"/>
        </w:rPr>
      </w:pPr>
      <w:r>
        <w:rPr>
          <w:rFonts w:hint="eastAsia" w:ascii="Times New Roman" w:hAnsi="Times New Roman" w:cs="仿宋"/>
          <w:color w:val="000000"/>
          <w:sz w:val="24"/>
          <w:szCs w:val="24"/>
        </w:rPr>
        <w:t xml:space="preserve">合同履约期限：自合同签订之日起60日历天。</w:t>
      </w:r>
      <w:r/>
    </w:p>
    <w:p>
      <w:pPr>
        <w:ind w:firstLine="476"/>
        <w:jc w:val="left"/>
        <w:spacing w:line="480" w:lineRule="exact"/>
        <w:rPr>
          <w:rFonts w:hint="eastAsia" w:ascii="宋体" w:hAnsi="宋体" w:cs="宋体"/>
          <w:b/>
          <w:bCs/>
          <w:spacing w:val="-1"/>
          <w:sz w:val="24"/>
          <w:szCs w:val="24"/>
        </w:rPr>
      </w:pPr>
      <w:r>
        <w:rPr>
          <w:rFonts w:hint="eastAsia" w:ascii="宋体" w:hAnsi="宋体" w:cs="宋体"/>
          <w:b/>
          <w:bCs/>
          <w:spacing w:val="-1"/>
          <w:sz w:val="24"/>
          <w:szCs w:val="24"/>
        </w:rPr>
        <w:t xml:space="preserve">三、质量技术标准</w:t>
      </w:r>
      <w:r/>
    </w:p>
    <w:p>
      <w:pPr>
        <w:ind w:firstLine="476"/>
        <w:jc w:val="left"/>
        <w:spacing w:line="480" w:lineRule="exact"/>
        <w:rPr>
          <w:rFonts w:hint="eastAsia" w:ascii="宋体" w:hAnsi="宋体" w:cs="宋体"/>
          <w:b/>
          <w:bCs/>
          <w:spacing w:val="-1"/>
          <w:sz w:val="24"/>
          <w:szCs w:val="24"/>
        </w:rPr>
      </w:pPr>
      <w:r>
        <w:rPr>
          <w:rFonts w:hint="eastAsia" w:ascii="宋体" w:hAnsi="宋体" w:cs="宋体"/>
          <w:spacing w:val="-1"/>
          <w:sz w:val="24"/>
          <w:szCs w:val="24"/>
        </w:rPr>
        <w:t xml:space="preserve">乙方提供的产品性能及质量有国家标准的应符合国家标准。无国家标准的应符合行业标准或企业标准，并满足招标文件要求，实现投标文件承诺条款。</w:t>
      </w:r>
      <w:r/>
    </w:p>
    <w:p>
      <w:pPr>
        <w:ind w:firstLine="476"/>
        <w:jc w:val="left"/>
        <w:spacing w:line="480" w:lineRule="exact"/>
        <w:rPr>
          <w:rFonts w:hint="eastAsia" w:ascii="宋体" w:hAnsi="宋体" w:cs="宋体"/>
          <w:b/>
          <w:bCs/>
          <w:spacing w:val="-1"/>
          <w:sz w:val="24"/>
          <w:szCs w:val="24"/>
        </w:rPr>
      </w:pPr>
      <w:r>
        <w:rPr>
          <w:rFonts w:hint="eastAsia" w:ascii="宋体" w:hAnsi="宋体" w:cs="宋体"/>
          <w:b/>
          <w:bCs/>
          <w:spacing w:val="-1"/>
          <w:sz w:val="24"/>
          <w:szCs w:val="24"/>
        </w:rPr>
        <w:t xml:space="preserve">四、验收依据国家法律法规及标准、招标文件、投标文件及中标人的承诺。</w:t>
      </w:r>
      <w:r/>
    </w:p>
    <w:p>
      <w:pPr>
        <w:ind w:firstLine="480"/>
        <w:spacing w:line="480" w:lineRule="exact"/>
        <w:rPr>
          <w:rFonts w:hint="eastAsia" w:ascii="宋体" w:hAnsi="宋体" w:cs="宋体"/>
          <w:sz w:val="24"/>
        </w:rPr>
      </w:pPr>
      <w:r>
        <w:rPr>
          <w:rFonts w:hint="eastAsia" w:ascii="宋体" w:hAnsi="宋体" w:cs="宋体"/>
          <w:sz w:val="24"/>
          <w:szCs w:val="24"/>
        </w:rPr>
        <w:t xml:space="preserve">1.乙方所提供货物必须符合国家标准，并经过权威机构检测。</w:t>
      </w:r>
      <w:r/>
    </w:p>
    <w:p>
      <w:pPr>
        <w:ind w:firstLine="480"/>
        <w:spacing w:line="480" w:lineRule="exact"/>
        <w:rPr>
          <w:rFonts w:hint="eastAsia" w:ascii="宋体" w:hAnsi="宋体" w:cs="宋体"/>
          <w:sz w:val="24"/>
        </w:rPr>
      </w:pPr>
      <w:r>
        <w:rPr>
          <w:rFonts w:hint="eastAsia" w:ascii="宋体" w:hAnsi="宋体" w:cs="宋体"/>
          <w:sz w:val="24"/>
          <w:szCs w:val="24"/>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spacing w:line="480" w:lineRule="exact"/>
        <w:rPr>
          <w:rFonts w:hint="eastAsia" w:ascii="宋体" w:hAnsi="宋体" w:cs="宋体"/>
          <w:sz w:val="24"/>
        </w:rPr>
      </w:pPr>
      <w:r>
        <w:rPr>
          <w:rFonts w:hint="eastAsia" w:ascii="宋体" w:hAnsi="宋体" w:cs="宋体"/>
          <w:sz w:val="24"/>
          <w:szCs w:val="24"/>
        </w:rPr>
        <w:t xml:space="preserve">3.乙方完成全部工程并投入使用后，需提供产品说明书、产品检测报告、合格证、产品质量认证证书等一系列文档资料，由甲方会同有关人员根据技术设计要求进行验收。</w:t>
      </w:r>
      <w:r/>
    </w:p>
    <w:p>
      <w:pPr>
        <w:ind w:firstLine="476"/>
        <w:jc w:val="left"/>
        <w:spacing w:line="480" w:lineRule="exact"/>
        <w:rPr>
          <w:rFonts w:hint="eastAsia" w:ascii="宋体" w:hAnsi="宋体" w:cs="宋体"/>
          <w:b/>
          <w:bCs/>
          <w:spacing w:val="-1"/>
          <w:sz w:val="24"/>
          <w:szCs w:val="24"/>
        </w:rPr>
      </w:pPr>
      <w:r>
        <w:rPr>
          <w:rFonts w:hint="eastAsia" w:ascii="宋体" w:hAnsi="宋体" w:cs="宋体"/>
          <w:b/>
          <w:bCs/>
          <w:spacing w:val="-1"/>
          <w:sz w:val="24"/>
          <w:szCs w:val="24"/>
        </w:rPr>
        <w:t xml:space="preserve">五、付款方式：</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按照以下确定的付款方式，采购人及时办理付款手续。对于满足合同约定支付条件的，自收到发票后15个工作日内将资金支付到合同约定的供应商账户或供应商数字人民币账户。</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预付款：合同金额的10%，合同签订后按规定支付； </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进度款：</w:t>
      </w:r>
      <w:r>
        <w:rPr>
          <w:rFonts w:hint="eastAsia" w:ascii="宋体" w:hAnsi="宋体" w:cs="宋体"/>
          <w:sz w:val="24"/>
          <w:szCs w:val="24"/>
          <w:lang w:val="en-US" w:eastAsia="zh-CN"/>
        </w:rPr>
        <w:t xml:space="preserve">货物全部进场安装调试完毕付至合同价的70%，</w:t>
      </w:r>
      <w:r>
        <w:rPr>
          <w:rFonts w:hint="eastAsia" w:ascii="宋体" w:hAnsi="宋体" w:cs="宋体"/>
          <w:sz w:val="24"/>
          <w:szCs w:val="24"/>
        </w:rPr>
        <w:t xml:space="preserve">经初验验收合格后付至合同价款的</w:t>
      </w:r>
      <w:r>
        <w:rPr>
          <w:rFonts w:hint="eastAsia" w:ascii="宋体" w:hAnsi="宋体" w:cs="宋体"/>
          <w:sz w:val="24"/>
          <w:szCs w:val="24"/>
          <w:lang w:val="en-US" w:eastAsia="zh-CN"/>
        </w:rPr>
        <w:t xml:space="preserve">9</w:t>
      </w:r>
      <w:r>
        <w:rPr>
          <w:rFonts w:hint="eastAsia" w:ascii="宋体" w:hAnsi="宋体" w:cs="宋体"/>
          <w:sz w:val="24"/>
          <w:szCs w:val="24"/>
        </w:rPr>
        <w:t xml:space="preserve">0%，一年后组织</w:t>
      </w:r>
      <w:r>
        <w:rPr>
          <w:rFonts w:hint="eastAsia" w:ascii="宋体" w:hAnsi="宋体" w:cs="宋体"/>
          <w:sz w:val="24"/>
          <w:szCs w:val="24"/>
          <w:lang w:val="en-US" w:eastAsia="zh-CN"/>
        </w:rPr>
        <w:t xml:space="preserve">验收</w:t>
      </w:r>
      <w:r>
        <w:rPr>
          <w:rFonts w:hint="eastAsia" w:ascii="宋体" w:hAnsi="宋体" w:cs="宋体"/>
          <w:sz w:val="24"/>
          <w:szCs w:val="24"/>
        </w:rPr>
        <w:t xml:space="preserve">，</w:t>
      </w:r>
      <w:r>
        <w:rPr>
          <w:rFonts w:hint="eastAsia" w:ascii="宋体" w:hAnsi="宋体" w:cs="宋体"/>
          <w:sz w:val="24"/>
          <w:szCs w:val="24"/>
          <w:lang w:val="en-US" w:eastAsia="zh-CN"/>
        </w:rPr>
        <w:t xml:space="preserve">验收</w:t>
      </w:r>
      <w:r>
        <w:rPr>
          <w:rFonts w:hint="eastAsia" w:ascii="宋体" w:hAnsi="宋体" w:cs="宋体"/>
          <w:sz w:val="24"/>
          <w:szCs w:val="24"/>
        </w:rPr>
        <w:t xml:space="preserve">合格后安排审计，结束后按审计结算价付清</w:t>
      </w:r>
      <w:r>
        <w:rPr>
          <w:rFonts w:hint="eastAsia" w:ascii="宋体" w:hAnsi="宋体" w:cs="宋体"/>
          <w:sz w:val="24"/>
          <w:szCs w:val="24"/>
          <w:lang w:val="en-US" w:eastAsia="zh-CN"/>
        </w:rPr>
        <w:t xml:space="preserve">余款</w:t>
      </w:r>
      <w:r>
        <w:rPr>
          <w:rFonts w:hint="eastAsia" w:ascii="宋体" w:hAnsi="宋体" w:cs="宋体"/>
          <w:sz w:val="24"/>
          <w:szCs w:val="24"/>
        </w:rPr>
        <w:t xml:space="preserve">。</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资金支付的条件：满足相应阶段的要求且收到供应商发票；</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注：在签订合同时，中标人明确表示无需预付款或者主动要求降低预付款比例的金额，采购人可不适用预付款规定。 </w:t>
      </w:r>
      <w:r/>
    </w:p>
    <w:p>
      <w:pPr>
        <w:ind w:firstLine="476"/>
        <w:jc w:val="left"/>
        <w:spacing w:line="480" w:lineRule="exact"/>
        <w:rPr>
          <w:rFonts w:hint="eastAsia" w:ascii="宋体" w:hAnsi="宋体" w:cs="宋体"/>
          <w:b/>
          <w:bCs/>
          <w:spacing w:val="-1"/>
          <w:sz w:val="24"/>
          <w:szCs w:val="24"/>
        </w:rPr>
      </w:pPr>
      <w:r>
        <w:rPr>
          <w:rFonts w:hint="eastAsia" w:ascii="宋体" w:hAnsi="宋体" w:cs="宋体"/>
          <w:b/>
          <w:bCs/>
          <w:spacing w:val="-1"/>
          <w:sz w:val="24"/>
          <w:szCs w:val="24"/>
        </w:rPr>
        <w:t xml:space="preserve">六、履约保证金</w:t>
      </w:r>
      <w:r/>
    </w:p>
    <w:p>
      <w:pPr>
        <w:ind w:firstLine="476"/>
        <w:jc w:val="left"/>
        <w:spacing w:line="480" w:lineRule="exact"/>
        <w:rPr>
          <w:rFonts w:hint="eastAsia" w:ascii="宋体" w:hAnsi="宋体" w:cs="宋体"/>
        </w:rPr>
      </w:pPr>
      <w:r>
        <w:rPr>
          <w:rFonts w:hint="eastAsia" w:ascii="宋体" w:hAnsi="宋体" w:cs="宋体"/>
          <w:spacing w:val="-1"/>
          <w:sz w:val="24"/>
          <w:szCs w:val="24"/>
        </w:rPr>
        <w:t xml:space="preserve">履约保证金应在采购合同签订前提交，履约保证金的金额：按采购合同总价的5%计取【如使用江苏政府采购电子履约保函（保险</w:t>
      </w:r>
      <w:r>
        <w:rPr>
          <w:rFonts w:hint="eastAsia" w:ascii="宋体" w:hAnsi="宋体" w:cs="宋体"/>
          <w:sz w:val="24"/>
          <w:szCs w:val="24"/>
        </w:rPr>
        <w:t xml:space="preserve">）代替缴纳履约保证金的，按采购合同总价的3%计取】。除银行电汇、网上银行、数字人民币外，投标人还可选用银行保函、担保公司的保证担保或保险公司的保证保险等多种形式向采购人缴纳；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cs="宋体"/>
          <w:sz w:val="24"/>
        </w:rPr>
      </w:pPr>
      <w:r>
        <w:rPr>
          <w:rFonts w:hint="eastAsia" w:ascii="宋体" w:hAnsi="宋体" w:cs="宋体"/>
          <w:sz w:val="24"/>
          <w:szCs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480" w:lineRule="exact"/>
        <w:rPr>
          <w:rFonts w:hint="eastAsia" w:ascii="宋体" w:hAnsi="宋体" w:cs="宋体"/>
          <w:sz w:val="24"/>
        </w:rPr>
      </w:pPr>
      <w:r>
        <w:rPr>
          <w:rFonts w:hint="eastAsia" w:ascii="宋体" w:hAnsi="宋体" w:cs="宋体"/>
          <w:sz w:val="24"/>
          <w:szCs w:val="24"/>
        </w:rPr>
        <w:t xml:space="preserve">履约保证金退还的条件：按以下方式实行：</w:t>
      </w:r>
      <w:r/>
    </w:p>
    <w:p>
      <w:pPr>
        <w:ind w:firstLine="480"/>
        <w:spacing w:line="480" w:lineRule="exact"/>
        <w:rPr>
          <w:rFonts w:hint="eastAsia" w:ascii="宋体" w:hAnsi="宋体" w:cs="宋体"/>
          <w:sz w:val="24"/>
        </w:rPr>
      </w:pPr>
      <w:r>
        <w:rPr>
          <w:rFonts w:hint="eastAsia" w:ascii="宋体" w:hAnsi="宋体" w:cs="宋体"/>
          <w:sz w:val="24"/>
          <w:szCs w:val="24"/>
        </w:rPr>
        <w:t xml:space="preserve">货物类项目，项目验收合格，出具验收报告及履约保证金收据申请退付；</w:t>
      </w:r>
      <w:r/>
    </w:p>
    <w:p>
      <w:pPr>
        <w:ind w:firstLine="480"/>
        <w:spacing w:line="480" w:lineRule="exact"/>
        <w:rPr>
          <w:rFonts w:hint="eastAsia" w:ascii="宋体" w:hAnsi="宋体" w:cs="宋体"/>
          <w:sz w:val="24"/>
        </w:rPr>
      </w:pPr>
      <w:r>
        <w:rPr>
          <w:rFonts w:hint="eastAsia" w:ascii="宋体" w:hAnsi="宋体" w:cs="宋体"/>
          <w:sz w:val="24"/>
          <w:szCs w:val="24"/>
        </w:rPr>
        <w:t xml:space="preserve">履约保证金退还时间：采购单位收到投标人退付申请后5个工作日内退还；</w:t>
      </w:r>
      <w:r/>
    </w:p>
    <w:p>
      <w:pPr>
        <w:ind w:firstLine="480"/>
        <w:spacing w:line="480" w:lineRule="exact"/>
        <w:rPr>
          <w:rFonts w:hint="eastAsia" w:ascii="宋体" w:hAnsi="宋体" w:cs="宋体"/>
          <w:sz w:val="24"/>
        </w:rPr>
      </w:pPr>
      <w:r>
        <w:rPr>
          <w:rFonts w:hint="eastAsia" w:ascii="宋体" w:hAnsi="宋体" w:cs="宋体"/>
          <w:sz w:val="24"/>
          <w:szCs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480" w:lineRule="exact"/>
        <w:rPr>
          <w:rFonts w:hint="eastAsia" w:ascii="宋体" w:hAnsi="宋体" w:cs="宋体"/>
          <w:sz w:val="24"/>
        </w:rPr>
      </w:pPr>
      <w:r>
        <w:rPr>
          <w:rFonts w:hint="eastAsia" w:ascii="宋体" w:hAnsi="宋体" w:cs="宋体"/>
          <w:sz w:val="24"/>
          <w:szCs w:val="24"/>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0"/>
        <w:spacing w:line="480" w:lineRule="exact"/>
        <w:rPr>
          <w:rFonts w:hint="eastAsia" w:ascii="宋体" w:hAnsi="宋体" w:cs="宋体"/>
          <w:sz w:val="24"/>
        </w:rPr>
      </w:pPr>
      <w:r>
        <w:rPr>
          <w:rFonts w:hint="eastAsia" w:ascii="宋体" w:hAnsi="宋体" w:cs="宋体"/>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通用条款与本条不一致的，以本条款为准。</w:t>
      </w:r>
      <w:r/>
    </w:p>
    <w:p>
      <w:pPr>
        <w:ind w:firstLine="422"/>
        <w:jc w:val="left"/>
        <w:spacing w:line="480" w:lineRule="exact"/>
        <w:widowControl/>
        <w:rPr>
          <w:rFonts w:hint="eastAsia" w:ascii="宋体" w:hAnsi="宋体" w:cs="宋体"/>
          <w:b/>
          <w:bCs/>
          <w:sz w:val="24"/>
          <w:szCs w:val="24"/>
        </w:rPr>
      </w:pPr>
      <w:r>
        <w:rPr>
          <w:rFonts w:hint="eastAsia" w:ascii="宋体" w:hAnsi="宋体" w:cs="宋体"/>
          <w:b/>
          <w:bCs/>
          <w:sz w:val="24"/>
          <w:szCs w:val="24"/>
        </w:rPr>
        <w:t xml:space="preserve">七、施工现场管理</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1.现场安全：施工方应当严格按照施工相关安全规范操作，确保施工安全，施工人员必须穿着反光或发光的醒目工作服，按要求设置好安全防护设施，防止施工人员或者过往车辆、行人发生意外事故，施工过程中发生的安全事故责任，由施工方承担。</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2.施工垃圾处理：施工垃圾应当按照规定进行收集，按照规定处理，禁止施工材料随意堆放、丢弃。</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3.施工保护：实施过程中，乙方应采取一切必要措施保护现有排水设施、管线、绿化等。因乙方施工行为（包括但不限于运输、开挖、钻孔、碾压）对上述设施造成任何损坏，均由乙方承担全部修复责任和相关费用。</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4.因施工不当造成的损坏，乙方应承担相应责任。</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5.施工进度要求：根据建设方要求，接到施工任务后，一天内响应，并将施工计划报建设方，未按照施工进度完成的应当书面报告情况说明，无合理理由的根据合同内容进行相应处罚。</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6.资料归档：施工方必须根据采购单位要求进行资料整理，所有项目实施时必须拍摄并保存同一角度前后对比照片并记录。</w:t>
      </w:r>
      <w:r/>
    </w:p>
    <w:p>
      <w:pPr>
        <w:ind w:firstLine="422"/>
        <w:jc w:val="left"/>
        <w:spacing w:line="480" w:lineRule="exact"/>
        <w:widowControl/>
        <w:rPr>
          <w:rFonts w:hint="eastAsia" w:ascii="宋体" w:hAnsi="宋体" w:cs="宋体"/>
          <w:b/>
          <w:bCs/>
          <w:sz w:val="24"/>
          <w:szCs w:val="24"/>
        </w:rPr>
      </w:pPr>
      <w:r>
        <w:rPr>
          <w:rFonts w:hint="eastAsia" w:ascii="宋体" w:hAnsi="宋体" w:cs="宋体"/>
          <w:b/>
          <w:bCs/>
          <w:sz w:val="24"/>
          <w:szCs w:val="24"/>
        </w:rPr>
        <w:t xml:space="preserve">八、其他说明</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1.项目完成后，由采购人按照招标文件、响应文件内容，组织相关人员进行验收，并出具验收报告。采购人有权委托具备法定资质的检验机构对本项目产品进行抽检，如验收不合格，无条件退货，并赔偿采购人相关损失。</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2.按采购人要求提供货物的第三方检测报告。</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3.中标供应商将货物送至采购人指定地点并安装，由供应商承担运费等相关费用，并向采购人提供详细的产品供货清单，由采购人确认。</w:t>
      </w:r>
      <w:r/>
    </w:p>
    <w:p>
      <w:pPr>
        <w:ind w:firstLine="420"/>
        <w:jc w:val="left"/>
        <w:spacing w:line="480" w:lineRule="exact"/>
        <w:widowControl/>
        <w:rPr>
          <w:rFonts w:hint="eastAsia" w:ascii="宋体" w:hAnsi="宋体" w:cs="宋体"/>
        </w:rPr>
      </w:pPr>
      <w:r>
        <w:rPr>
          <w:rFonts w:hint="eastAsia" w:ascii="宋体" w:hAnsi="宋体" w:cs="宋体"/>
          <w:sz w:val="24"/>
          <w:szCs w:val="24"/>
        </w:rPr>
        <w:t xml:space="preserve">4.严格执行招标文件规定的相关标准和技术要求。</w:t>
      </w:r>
      <w:r/>
    </w:p>
    <w:p>
      <w:pPr>
        <w:ind w:firstLine="422"/>
        <w:jc w:val="left"/>
        <w:spacing w:line="480" w:lineRule="exact"/>
        <w:widowControl/>
        <w:rPr>
          <w:rFonts w:hint="eastAsia" w:ascii="宋体" w:hAnsi="宋体" w:cs="宋体"/>
          <w:b/>
          <w:bCs/>
          <w:sz w:val="24"/>
          <w:szCs w:val="24"/>
          <w:lang w:val="zh-CN"/>
        </w:rPr>
      </w:pPr>
      <w:r>
        <w:rPr>
          <w:rFonts w:hint="eastAsia" w:ascii="宋体" w:hAnsi="宋体" w:cs="宋体"/>
          <w:b/>
          <w:bCs/>
          <w:sz w:val="24"/>
          <w:szCs w:val="24"/>
        </w:rPr>
        <w:t xml:space="preserve">九</w:t>
      </w:r>
      <w:r>
        <w:rPr>
          <w:rFonts w:hint="eastAsia" w:ascii="宋体" w:hAnsi="宋体" w:cs="宋体"/>
          <w:b/>
          <w:bCs/>
          <w:sz w:val="24"/>
          <w:szCs w:val="24"/>
          <w:lang w:val="zh-CN"/>
        </w:rPr>
        <w:t xml:space="preserve"> 、伴随服务/</w:t>
      </w:r>
      <w:bookmarkStart w:id="147" w:name="OLE_LINK11"/>
      <w:r>
        <w:rPr>
          <w:rFonts w:hint="eastAsia" w:ascii="宋体" w:hAnsi="宋体" w:cs="宋体"/>
          <w:b/>
          <w:bCs/>
          <w:sz w:val="24"/>
          <w:szCs w:val="24"/>
          <w:lang w:val="zh-CN"/>
        </w:rPr>
        <w:t xml:space="preserve">售后服务</w:t>
      </w:r>
      <w:bookmarkEnd w:id="147"/>
      <w:r/>
      <w:r/>
    </w:p>
    <w:p>
      <w:pPr>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1.质保要求：投标人应确保本次采购的所有产品安全稳定地运行，并提供3年免费质保服务（自验收报告合格之日起，开始进入质保期）。</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2.售后服务要求：</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（1）在质保期内，按采购人要求对项目定期巡检，巡检内容包括但不限于：结构完整性、清洁度、状态、功能等。</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（2）因投标人所供货物制造质量问题出现故障时，投标人在接到采购人通知后1小时内响应，乙方应在24小时内立即予以免费维修或更换。</w:t>
      </w:r>
      <w:bookmarkStart w:id="148" w:name="OLE_LINK12"/>
      <w:r>
        <w:rPr>
          <w:rFonts w:hint="eastAsia" w:ascii="宋体" w:hAnsi="宋体" w:cs="宋体"/>
          <w:bCs/>
          <w:sz w:val="24"/>
          <w:szCs w:val="24"/>
        </w:rPr>
        <w:t xml:space="preserve">更换维修期间</w:t>
      </w:r>
      <w:r>
        <w:rPr>
          <w:rFonts w:hint="eastAsia" w:ascii="宋体" w:hAnsi="宋体" w:cs="宋体"/>
          <w:bCs/>
          <w:sz w:val="24"/>
          <w:szCs w:val="24"/>
          <w:lang w:eastAsia="zh-CN"/>
        </w:rPr>
        <w:t xml:space="preserve">需</w:t>
      </w:r>
      <w:r>
        <w:rPr>
          <w:rFonts w:hint="eastAsia" w:ascii="宋体" w:hAnsi="宋体" w:cs="宋体"/>
          <w:bCs/>
          <w:sz w:val="24"/>
          <w:szCs w:val="24"/>
        </w:rPr>
        <w:t xml:space="preserve">提供备用设备以保证系统的正常运行。由此引起的一切费用由乙方承担。</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（3）其他服务内容按招标文件要求及乙方投标文件执行。</w:t>
      </w:r>
      <w:bookmarkEnd w:id="148"/>
      <w:r/>
      <w:r/>
    </w:p>
    <w:p>
      <w:pPr>
        <w:ind w:firstLine="422"/>
        <w:jc w:val="left"/>
        <w:spacing w:line="480" w:lineRule="exact"/>
        <w:widowControl/>
        <w:rPr>
          <w:rFonts w:hint="eastAsia" w:ascii="宋体" w:hAnsi="宋体" w:cs="宋体"/>
          <w:b/>
          <w:bCs/>
          <w:sz w:val="24"/>
          <w:szCs w:val="24"/>
          <w:lang w:val="zh-CN"/>
        </w:rPr>
      </w:pPr>
      <w:r>
        <w:rPr>
          <w:rFonts w:hint="eastAsia" w:ascii="宋体" w:hAnsi="宋体" w:cs="宋体"/>
          <w:b/>
          <w:bCs/>
          <w:sz w:val="24"/>
          <w:szCs w:val="24"/>
        </w:rPr>
        <w:t xml:space="preserve">十、</w:t>
      </w:r>
      <w:r>
        <w:rPr>
          <w:rFonts w:hint="eastAsia" w:ascii="宋体" w:hAnsi="宋体" w:cs="宋体"/>
          <w:b/>
          <w:bCs/>
          <w:sz w:val="24"/>
          <w:szCs w:val="24"/>
          <w:lang w:val="zh-CN"/>
        </w:rPr>
        <w:t xml:space="preserve">违约责任</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1.如乙方不能按期完工的，甲方有权扣留全部履约保证金。</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2.乙方逾期交付的，每逾期1天，乙方向甲方偿付合同总额的5‰的滞纳金。如乙方逾期交付达10天，甲方有权解除合同，解除合同的通知自到达乙方时生效。乙方逾期交付的，今后参加政府采购信誉将受到影响。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3.乙方在承担违约责任后，仍应继续履行合同规定的义务（甲方解除合同的除外）。甲方未能及时追究乙方的任何一项违约责任并不表明甲方放弃追究乙方该项或其他违约责任。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480" w:lineRule="exact"/>
        <w:widowControl/>
        <w:rPr>
          <w:rFonts w:hint="eastAsia" w:ascii="宋体" w:hAnsi="宋体" w:cs="宋体"/>
          <w:sz w:val="24"/>
          <w:szCs w:val="24"/>
        </w:rPr>
      </w:pPr>
      <w:r>
        <w:rPr>
          <w:rFonts w:hint="eastAsia" w:ascii="宋体" w:hAnsi="宋体" w:cs="宋体"/>
          <w:sz w:val="24"/>
          <w:szCs w:val="24"/>
        </w:rPr>
        <w:t xml:space="preserve">4.乙方虚假承诺，或经权威部门检测提供的服务不能满足招标文件要求，或是由于乙方的过错合同无法继续履行的，乙方履约保证金（如有）不予退还外，还应向甲方支付不少于合同总价30%赔偿金。</w:t>
      </w:r>
      <w:r/>
    </w:p>
    <w:p>
      <w:pPr>
        <w:ind w:firstLine="480"/>
        <w:spacing w:line="580" w:lineRule="exact"/>
        <w:widowControl/>
      </w:pPr>
      <w:r>
        <w:rPr>
          <w:rFonts w:hint="eastAsia" w:ascii="宋体" w:hAnsi="宋体" w:cs="宋体"/>
          <w:sz w:val="24"/>
        </w:rPr>
        <w:t xml:space="preserve">5.对于不能按照本合同“质保及售后服务”之约定进行售后服务的，按500元/次支付违约金；甲方可直接从项目剩余款项中扣除乙方所承担违约金，最高扣除违约金的额度为合同金额的</w:t>
      </w:r>
      <w:r>
        <w:rPr>
          <w:rFonts w:hint="eastAsia" w:ascii="宋体" w:hAnsi="宋体" w:cs="宋体"/>
          <w:sz w:val="24"/>
          <w:u w:val="single"/>
        </w:rPr>
        <w:t xml:space="preserve">10%</w:t>
      </w:r>
      <w:r>
        <w:rPr>
          <w:rFonts w:hint="eastAsia" w:ascii="宋体" w:hAnsi="宋体" w:cs="宋体"/>
          <w:sz w:val="24"/>
        </w:rPr>
        <w:t xml:space="preserve">。</w:t>
      </w:r>
      <w:r/>
    </w:p>
    <w:p>
      <w:pPr>
        <w:ind w:firstLine="420"/>
        <w:jc w:val="left"/>
        <w:spacing w:line="480" w:lineRule="exact"/>
        <w:widowControl/>
        <w:rPr>
          <w:rFonts w:hint="eastAsia" w:ascii="宋体" w:hAnsi="宋体" w:cs="宋体"/>
          <w:b/>
          <w:sz w:val="24"/>
          <w:szCs w:val="21"/>
        </w:rPr>
      </w:pPr>
      <w:r>
        <w:rPr>
          <w:rFonts w:hint="eastAsia" w:ascii="宋体" w:hAnsi="宋体" w:cs="宋体"/>
          <w:b/>
          <w:sz w:val="24"/>
          <w:szCs w:val="21"/>
        </w:rPr>
        <w:t xml:space="preserve">十一、知识产权</w:t>
      </w:r>
      <w:r/>
    </w:p>
    <w:p>
      <w:pPr>
        <w:ind w:firstLine="420"/>
        <w:jc w:val="left"/>
        <w:spacing w:line="480" w:lineRule="exact"/>
        <w:widowControl/>
        <w:rPr>
          <w:rFonts w:hint="eastAsia" w:ascii="宋体" w:hAnsi="宋体" w:cs="宋体"/>
          <w:sz w:val="24"/>
          <w:szCs w:val="21"/>
        </w:rPr>
      </w:pPr>
      <w:r>
        <w:rPr>
          <w:rFonts w:hint="eastAsia" w:ascii="宋体" w:hAnsi="宋体" w:cs="宋体"/>
          <w:sz w:val="24"/>
          <w:szCs w:val="21"/>
        </w:rPr>
        <w:t xml:space="preserve">乙方所提供的货物（含软件等）不应存在任何权利瑕疵，如乙方有侵犯第三方知识产权或欺诈行为的，乙方除返还合同价款、赔偿甲方损失外，还应向甲方支付相当于合同总价一倍的违约金。如果任何第三方就合同标的知识产权事宜向甲方提起侵权索赔，乙方应负责与之进行交涉，并承担由此引起的一切责任（包含甲方为此支付的律师费、差旅费、诉讼费等）。</w:t>
      </w:r>
      <w:r/>
    </w:p>
    <w:p>
      <w:pPr>
        <w:ind w:firstLine="420"/>
        <w:jc w:val="left"/>
        <w:spacing w:line="480" w:lineRule="exact"/>
        <w:widowControl/>
        <w:rPr>
          <w:rFonts w:hint="eastAsia" w:ascii="宋体" w:hAnsi="宋体" w:cs="宋体"/>
          <w:b/>
          <w:sz w:val="24"/>
          <w:szCs w:val="21"/>
        </w:rPr>
      </w:pPr>
      <w:r>
        <w:rPr>
          <w:rFonts w:hint="eastAsia" w:ascii="宋体" w:hAnsi="宋体" w:cs="宋体"/>
          <w:b/>
          <w:sz w:val="24"/>
          <w:szCs w:val="21"/>
        </w:rPr>
        <w:t xml:space="preserve">十二、合同生效及审核</w:t>
      </w:r>
      <w:r/>
    </w:p>
    <w:p>
      <w:pPr>
        <w:ind w:firstLine="420"/>
        <w:jc w:val="left"/>
        <w:spacing w:line="480" w:lineRule="exact"/>
        <w:widowControl/>
        <w:rPr>
          <w:rFonts w:hint="eastAsia" w:ascii="宋体" w:hAnsi="宋体" w:cs="宋体"/>
          <w:sz w:val="24"/>
          <w:szCs w:val="21"/>
        </w:rPr>
      </w:pPr>
      <w:r>
        <w:rPr>
          <w:rFonts w:hint="eastAsia" w:ascii="宋体" w:hAnsi="宋体" w:cs="宋体"/>
          <w:sz w:val="24"/>
          <w:szCs w:val="21"/>
        </w:rPr>
        <w:t xml:space="preserve">本合同经甲方、乙方签字盖章后生效，合同签订的内容不能超出招标文件和投标文件的实质性内容。</w:t>
      </w:r>
      <w:r/>
    </w:p>
    <w:p>
      <w:pPr>
        <w:numPr>
          <w:ilvl w:val="0"/>
          <w:numId w:val="49"/>
        </w:numPr>
        <w:ind w:firstLine="420"/>
        <w:jc w:val="left"/>
        <w:spacing w:line="480" w:lineRule="exact"/>
        <w:widowControl/>
        <w:rPr>
          <w:rFonts w:hint="eastAsia" w:ascii="宋体" w:hAnsi="宋体" w:cs="宋体"/>
          <w:b/>
          <w:sz w:val="24"/>
          <w:szCs w:val="21"/>
        </w:rPr>
      </w:pPr>
      <w:r>
        <w:rPr>
          <w:rFonts w:hint="eastAsia" w:ascii="宋体" w:hAnsi="宋体" w:cs="宋体"/>
          <w:b/>
          <w:sz w:val="24"/>
          <w:szCs w:val="21"/>
        </w:rPr>
        <w:t xml:space="preserve">本合同条款、中标通知书、招标文件、投标文件及投标人在开标时的书面承诺等构成合同的组成部分。</w:t>
      </w:r>
      <w:r/>
    </w:p>
    <w:p>
      <w:pPr>
        <w:numPr>
          <w:ilvl w:val="0"/>
          <w:numId w:val="49"/>
        </w:numPr>
        <w:ind w:firstLine="420"/>
        <w:jc w:val="left"/>
        <w:spacing w:line="480" w:lineRule="exact"/>
        <w:widowControl/>
        <w:rPr>
          <w:rFonts w:hint="eastAsia" w:ascii="宋体" w:hAnsi="宋体" w:cs="宋体"/>
          <w:b/>
          <w:sz w:val="24"/>
          <w:szCs w:val="21"/>
        </w:rPr>
      </w:pPr>
      <w:r>
        <w:rPr>
          <w:rFonts w:hint="eastAsia" w:ascii="宋体" w:hAnsi="宋体" w:cs="宋体"/>
          <w:b/>
          <w:sz w:val="24"/>
          <w:szCs w:val="21"/>
        </w:rPr>
        <w:t xml:space="preserve">合同争议的解决</w:t>
      </w:r>
      <w:r/>
    </w:p>
    <w:p>
      <w:pPr>
        <w:ind w:firstLine="480"/>
        <w:jc w:val="left"/>
        <w:spacing w:line="480" w:lineRule="exact"/>
        <w:widowControl/>
        <w:rPr>
          <w:rFonts w:hint="eastAsia" w:ascii="宋体" w:hAnsi="宋体" w:cs="宋体"/>
          <w:sz w:val="24"/>
          <w:szCs w:val="21"/>
        </w:rPr>
      </w:pPr>
      <w:r>
        <w:rPr>
          <w:rFonts w:hint="eastAsia" w:ascii="宋体" w:hAnsi="宋体" w:cs="宋体"/>
          <w:sz w:val="24"/>
          <w:szCs w:val="21"/>
        </w:rPr>
        <w:t xml:space="preserve">1.本合同履行过程中发生的任何争议，双方当事人均可通过和解或者调解解决；不愿和解、调解或者和解、调解不成的，可以向甲方所在地人民法院提起诉讼。</w:t>
      </w:r>
      <w:r/>
    </w:p>
    <w:p>
      <w:pPr>
        <w:ind w:firstLine="480"/>
        <w:jc w:val="left"/>
        <w:spacing w:line="480" w:lineRule="exact"/>
        <w:widowControl/>
        <w:rPr>
          <w:rFonts w:hint="eastAsia" w:ascii="宋体" w:hAnsi="宋体" w:cs="宋体"/>
          <w:sz w:val="24"/>
          <w:szCs w:val="21"/>
        </w:rPr>
      </w:pPr>
      <w:r>
        <w:rPr>
          <w:rFonts w:hint="eastAsia" w:ascii="宋体" w:hAnsi="宋体" w:cs="宋体"/>
          <w:sz w:val="24"/>
          <w:szCs w:val="21"/>
        </w:rPr>
        <w:t xml:space="preserve">2.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ind w:firstLine="480"/>
        <w:jc w:val="left"/>
        <w:spacing w:line="480" w:lineRule="exact"/>
        <w:widowControl/>
        <w:rPr>
          <w:rFonts w:hint="eastAsia" w:ascii="宋体" w:hAnsi="宋体" w:cs="宋体"/>
          <w:szCs w:val="21"/>
        </w:rPr>
      </w:pPr>
      <w:r>
        <w:rPr>
          <w:rFonts w:hint="eastAsia" w:ascii="宋体" w:hAnsi="宋体" w:cs="宋体"/>
          <w:sz w:val="24"/>
          <w:szCs w:val="21"/>
        </w:rPr>
        <w:t xml:space="preserve">3.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p>
    <w:p>
      <w:pPr>
        <w:ind w:firstLine="482"/>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rPr>
        <w:t xml:space="preserve">十五、本合同壹式肆份，以中文书写，甲方、乙方各执贰份。本合同一切未尽事宜，</w:t>
      </w:r>
      <w:r>
        <w:rPr>
          <w:rFonts w:hint="eastAsia" w:ascii="宋体" w:hAnsi="宋体" w:cs="宋体"/>
          <w:b/>
          <w:sz w:val="24"/>
          <w:szCs w:val="21"/>
          <w:lang w:eastAsia="zh-CN"/>
        </w:rPr>
        <w:t xml:space="preserve">按照《中华人民共和国</w:t>
      </w:r>
      <w:r>
        <w:rPr>
          <w:rFonts w:hint="eastAsia" w:ascii="宋体" w:hAnsi="宋体" w:cs="宋体"/>
          <w:b/>
          <w:sz w:val="24"/>
          <w:szCs w:val="21"/>
        </w:rPr>
        <w:t xml:space="preserve">民法典》有关规定执行，无相关规定的，由甲乙双方协商解决。</w:t>
      </w:r>
      <w:r/>
    </w:p>
    <w:p>
      <w:pPr>
        <w:spacing w:line="480" w:lineRule="exact"/>
        <w:rPr>
          <w:rFonts w:hint="eastAsia" w:ascii="宋体" w:hAnsi="宋体" w:cs="宋体"/>
          <w:b/>
          <w:bCs/>
          <w:sz w:val="24"/>
          <w:szCs w:val="21"/>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1"/>
        </w:rPr>
      </w:r>
      <w:r/>
    </w:p>
    <w:p>
      <w:pPr>
        <w:jc w:val="center"/>
        <w:spacing w:line="48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1"/>
        </w:rPr>
        <w:t xml:space="preserve">通用条款</w:t>
      </w:r>
      <w:r/>
    </w:p>
    <w:p>
      <w:pPr>
        <w:ind w:firstLine="482"/>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rPr>
        <w:t xml:space="preserve">十六、词语涵义</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（一）合同：甲乙双方签署的、合同格式中载明的甲方与乙方所达成的协议，包括所有的附件、附录和构成合同的所有文件。</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（二）合同价：根据合同规定，乙方在正确地完全履行合同义务后甲方应支付给卖方的价格。</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（三）服务：根据合同规定乙方承担与项目有关的辅助服务，如运输、保险以及其他的伴随服务，比如提供技术援助、培训和其他类似的应承担的义务。</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（五）甲方：采购单位</w:t>
      </w:r>
      <w:r>
        <w:rPr>
          <w:rFonts w:hint="eastAsia" w:ascii="宋体" w:hAnsi="宋体" w:cs="宋体"/>
          <w:sz w:val="24"/>
          <w:szCs w:val="21"/>
          <w:highlight w:val="none"/>
        </w:rPr>
        <w:t xml:space="preserve">，即</w:t>
      </w:r>
      <w:r>
        <w:rPr>
          <w:rFonts w:hint="eastAsia" w:ascii="宋体" w:hAnsi="宋体" w:cs="宋体"/>
          <w:sz w:val="24"/>
          <w:szCs w:val="21"/>
          <w:highlight w:val="none"/>
          <w:u w:val="single"/>
        </w:rPr>
        <w:t xml:space="preserve">江苏省沭阳中</w:t>
      </w:r>
      <w:r>
        <w:rPr>
          <w:rFonts w:hint="eastAsia" w:ascii="宋体" w:hAnsi="宋体" w:cs="宋体"/>
          <w:sz w:val="24"/>
          <w:szCs w:val="21"/>
          <w:u w:val="single"/>
        </w:rPr>
        <w:t xml:space="preserve">等专业学校</w:t>
      </w:r>
      <w:r>
        <w:rPr>
          <w:rFonts w:hint="eastAsia" w:ascii="宋体" w:hAnsi="宋体" w:cs="宋体"/>
          <w:sz w:val="24"/>
          <w:szCs w:val="21"/>
        </w:rPr>
        <w:t xml:space="preserve">。</w:t>
      </w:r>
      <w:r/>
    </w:p>
    <w:p>
      <w:pPr>
        <w:ind w:firstLine="480"/>
        <w:jc w:val="left"/>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（六）乙方：提供服务的公司或实体，即</w:t>
      </w:r>
      <w:r>
        <w:rPr>
          <w:rFonts w:hint="eastAsia" w:ascii="宋体" w:hAnsi="宋体" w:cs="宋体"/>
          <w:sz w:val="24"/>
          <w:szCs w:val="21"/>
          <w:u w:val="single"/>
        </w:rPr>
        <w:t xml:space="preserve">             </w:t>
      </w:r>
      <w:r>
        <w:rPr>
          <w:rFonts w:hint="eastAsia" w:ascii="宋体" w:hAnsi="宋体" w:cs="宋体"/>
          <w:sz w:val="24"/>
          <w:szCs w:val="21"/>
        </w:rPr>
        <w:t xml:space="preserve">。</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（七）不可抗力：指不能预见、不能避免和不能克服的客观情况，如战争、动乱、空中飞行物体坠落或其他非甲乙方责任造成的爆炸、火灾，以及协议条款约定等级以上的风、雨、雪、地震等。</w:t>
      </w:r>
      <w:r/>
    </w:p>
    <w:p>
      <w:pPr>
        <w:ind w:firstLine="482"/>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rPr>
        <w:t xml:space="preserve">十七、技术规格</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乙方所提供货物的技术规格应与招标文件规定的技术规格以及所附的技术规格响应表相一致。</w:t>
      </w:r>
      <w:r/>
    </w:p>
    <w:p>
      <w:pPr>
        <w:ind w:firstLine="482"/>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rPr>
        <w:t xml:space="preserve">十八、专利权</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乙方应保证甲方在使用该货物或其任何一部分时不受第三方提出侵犯其专利权、商标权和工业设计权的起诉。一旦出现专利侵权，乙方应负全部责任。</w:t>
      </w:r>
      <w:r/>
    </w:p>
    <w:p>
      <w:pPr>
        <w:ind w:firstLine="482"/>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rPr>
        <w:t xml:space="preserve">十九、付款</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（一）本合同以人民币付款。</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（二）乙方应按照与甲方签订的合同规定服务。</w:t>
      </w:r>
      <w:r/>
    </w:p>
    <w:p>
      <w:pPr>
        <w:ind w:firstLine="482"/>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rPr>
        <w:t xml:space="preserve">二十、误期赔偿</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除合同规定外，如果乙方没有按照合同规定的时间提供货物，甲方将从货款中扣除误期赔偿费而不影响合同项目的其他补救方法，赔偿费按每周未提供服务费用的0.5%计收，直至提供服务为止，一周按7天计算，不足7天按一周计算。但误期赔偿费的最高限为误期服务合同价的5%。一旦达到误期赔偿的最高限额，甲方可考虑终止合同。</w:t>
      </w:r>
      <w:r/>
    </w:p>
    <w:p>
      <w:pPr>
        <w:ind w:firstLine="482"/>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rPr>
        <w:t xml:space="preserve">二十一、不可抗力</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firstLine="482"/>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rPr>
        <w:t xml:space="preserve">二十二、税费</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中国政府根据现行税法规定对甲方征收的与本合同有关的一切税费由甲方负担；规定对乙方征收的与本合同有关的一切税费由乙方负担。</w:t>
      </w:r>
      <w:r/>
    </w:p>
    <w:p>
      <w:pPr>
        <w:ind w:firstLine="482"/>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rPr>
        <w:t xml:space="preserve">二十三、合同争议</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甲乙双方应通过友好协商，解决在执行本合同中所发生的或与本合同有关的一切争议。如果协商仍得不到解决，任何一方均可向甲方所在地人民法院提起诉讼。</w:t>
      </w:r>
      <w:r/>
    </w:p>
    <w:p>
      <w:pPr>
        <w:ind w:firstLine="482"/>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rPr>
        <w:t xml:space="preserve">二十四、适用法律</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本合同应按照中华人民共和国的现行法律进行解释。</w:t>
      </w:r>
      <w:r/>
    </w:p>
    <w:tbl>
      <w:tblPr>
        <w:tblStyle w:val="895"/>
        <w:tblW w:w="869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54"/>
        <w:gridCol w:w="4745"/>
      </w:tblGrid>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textDirection w:val="lrTb"/>
            <w:noWrap w:val="false"/>
          </w:tcPr>
          <w:p>
            <w:pP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textDirection w:val="lrTb"/>
            <w:noWrap w:val="false"/>
          </w:tcPr>
          <w:p>
            <w:pP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乙方：（盖章）</w:t>
            </w:r>
            <w:r/>
          </w:p>
        </w:tc>
      </w:tr>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textDirection w:val="lrTb"/>
            <w:noWrap w:val="false"/>
          </w:tcPr>
          <w:p>
            <w:pP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textDirection w:val="lrTb"/>
            <w:noWrap w:val="false"/>
          </w:tcPr>
          <w:p>
            <w:pP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地址：</w:t>
            </w:r>
            <w:r/>
          </w:p>
        </w:tc>
      </w:tr>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textDirection w:val="lrTb"/>
            <w:noWrap w:val="false"/>
          </w:tcPr>
          <w:p>
            <w:pP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法定（授权）代表人（签字或盖章）：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textDirection w:val="lrTb"/>
            <w:noWrap w:val="false"/>
          </w:tcPr>
          <w:p>
            <w:pP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法定（授权）代表人（签字或盖章）：</w:t>
            </w:r>
            <w:r/>
          </w:p>
        </w:tc>
      </w:tr>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textDirection w:val="lrTb"/>
            <w:noWrap w:val="false"/>
          </w:tcPr>
          <w:p>
            <w:pP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textDirection w:val="lrTb"/>
            <w:noWrap w:val="false"/>
          </w:tcPr>
          <w:p>
            <w:pP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textDirection w:val="lrTb"/>
            <w:noWrap w:val="false"/>
          </w:tcPr>
          <w:p>
            <w:pPr>
              <w:ind w:firstLine="480"/>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textDirection w:val="lrTb"/>
            <w:noWrap w:val="false"/>
          </w:tcPr>
          <w:p>
            <w:pPr>
              <w:ind w:firstLine="480"/>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年  月  日</w:t>
            </w:r>
            <w:r/>
          </w:p>
        </w:tc>
      </w:tr>
    </w:tbl>
    <w:p>
      <w:pPr>
        <w:jc w:val="center"/>
        <w:keepLines/>
        <w:keepNext/>
        <w:pageBreakBefore/>
        <w:rPr>
          <w:b/>
          <w:color w:val="000000"/>
          <w:sz w:val="44"/>
          <w:szCs w:val="44"/>
        </w:rPr>
        <w:outlineLvl w:val="0"/>
      </w:pPr>
      <w:r/>
      <w:bookmarkStart w:id="149" w:name="_Toc28942"/>
      <w:r>
        <w:rPr>
          <w:rFonts w:hint="eastAsia"/>
          <w:b/>
          <w:color w:val="000000"/>
          <w:sz w:val="44"/>
          <w:szCs w:val="44"/>
        </w:rPr>
        <w:t xml:space="preserve">第六章  投标文件格式</w:t>
      </w:r>
      <w:bookmarkEnd w:id="142"/>
      <w:r/>
      <w:bookmarkEnd w:id="143"/>
      <w:r/>
      <w:bookmarkEnd w:id="144"/>
      <w:r/>
      <w:bookmarkEnd w:id="145"/>
      <w:r/>
      <w:bookmarkEnd w:id="146"/>
      <w:r/>
      <w:bookmarkEnd w:id="149"/>
      <w:r/>
      <w:r/>
    </w:p>
    <w:p>
      <w:pPr>
        <w:rPr>
          <w:color w:val="000000"/>
        </w:rPr>
      </w:pPr>
      <w:r/>
      <w:bookmarkStart w:id="150" w:name="EB819316f773b24a75aef829f9b72900c0"/>
      <w:r/>
      <w:r/>
    </w:p>
    <w:p>
      <w:pPr>
        <w:rPr>
          <w:rFonts w:ascii="Times New Roman" w:hAnsi="Times New Roman"/>
          <w:b/>
          <w:color w:val="000000"/>
          <w:sz w:val="72"/>
        </w:rPr>
      </w:pPr>
      <w:r/>
      <w:bookmarkStart w:id="151" w:name="_Toc15716"/>
      <w:r/>
      <w:r/>
    </w:p>
    <w:p>
      <w:pPr>
        <w:rPr>
          <w:rFonts w:ascii="Times New Roman" w:hAnsi="Times New Roman"/>
          <w:b/>
          <w:color w:val="000000"/>
          <w:sz w:val="72"/>
        </w:rPr>
      </w:pPr>
      <w:r>
        <w:rPr>
          <w:rFonts w:ascii="Times New Roman" w:hAnsi="Times New Roman"/>
          <w:b/>
          <w:color w:val="000000"/>
          <w:sz w:val="72"/>
        </w:rPr>
      </w:r>
      <w:r/>
    </w:p>
    <w:p>
      <w:pP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hint="eastAsia" w:ascii="Times New Roman" w:hAnsi="Times New Roman"/>
          <w:b/>
          <w:color w:val="000000"/>
          <w:sz w:val="72"/>
        </w:rPr>
        <w:t xml:space="preserve">投  标  文  件</w:t>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ind w:firstLine="1084"/>
        <w:rPr>
          <w:rFonts w:ascii="Times New Roman" w:hAnsi="Times New Roman"/>
          <w:b/>
          <w:color w:val="000000"/>
          <w:sz w:val="36"/>
        </w:rPr>
      </w:pPr>
      <w:r>
        <w:rPr>
          <w:rFonts w:hint="eastAsia" w:ascii="Times New Roman" w:hAnsi="Times New Roman"/>
          <w:b/>
          <w:color w:val="000000"/>
          <w:sz w:val="36"/>
        </w:rPr>
        <w:t xml:space="preserve">项 目 名 称：</w:t>
      </w:r>
      <w:r>
        <w:rPr>
          <w:rFonts w:hint="eastAsia" w:ascii="Times New Roman" w:hAnsi="Times New Roman"/>
          <w:b/>
          <w:color w:val="000000"/>
          <w:sz w:val="36"/>
          <w:u w:val="single"/>
        </w:rPr>
        <w:t xml:space="preserve">               </w:t>
      </w:r>
      <w:r/>
    </w:p>
    <w:p>
      <w:pPr>
        <w:ind w:firstLine="1084"/>
        <w:rPr>
          <w:rFonts w:ascii="Times New Roman" w:hAnsi="Times New Roman"/>
          <w:b/>
          <w:color w:val="000000"/>
          <w:sz w:val="36"/>
          <w:u w:val="single"/>
        </w:rPr>
      </w:pPr>
      <w:r>
        <w:rPr>
          <w:rFonts w:hint="eastAsia" w:ascii="Times New Roman" w:hAnsi="Times New Roman"/>
          <w:b/>
          <w:color w:val="000000"/>
          <w:sz w:val="36"/>
        </w:rPr>
        <w:t xml:space="preserve">项 目 编 号：</w:t>
      </w:r>
      <w:r>
        <w:rPr>
          <w:rFonts w:hint="eastAsia" w:ascii="Times New Roman" w:hAnsi="Times New Roman"/>
          <w:b/>
          <w:color w:val="000000"/>
          <w:sz w:val="36"/>
          <w:u w:val="single"/>
        </w:rPr>
        <w:t xml:space="preserve">               </w:t>
      </w:r>
      <w:r/>
    </w:p>
    <w:p>
      <w:pPr>
        <w:rPr>
          <w:rFonts w:ascii="Times New Roman" w:hAnsi="Times New Roman"/>
          <w:b/>
          <w:color w:val="000000"/>
          <w:sz w:val="36"/>
          <w:u w:val="single"/>
        </w:rPr>
      </w:pPr>
      <w:r>
        <w:rPr>
          <w:rFonts w:hint="eastAsia" w:ascii="Times New Roman" w:hAnsi="Times New Roman"/>
          <w:b/>
          <w:color w:val="000000"/>
          <w:sz w:val="36"/>
        </w:rPr>
        <w:t xml:space="preserve">      投标人名称 ：</w:t>
      </w:r>
      <w:r>
        <w:rPr>
          <w:rFonts w:hint="eastAsia" w:ascii="Times New Roman" w:hAnsi="Times New Roman"/>
          <w:b/>
          <w:color w:val="000000"/>
          <w:sz w:val="36"/>
          <w:u w:val="single"/>
        </w:rPr>
        <w:t xml:space="preserve">（盖CA电子公章）</w:t>
      </w:r>
      <w:r/>
    </w:p>
    <w:p>
      <w:pPr>
        <w:rPr>
          <w:rFonts w:ascii="Times New Roman" w:hAnsi="Times New Roman"/>
          <w:b/>
          <w:color w:val="000000"/>
          <w:sz w:val="36"/>
          <w:u w:val="single"/>
        </w:rPr>
      </w:pPr>
      <w:r>
        <w:rPr>
          <w:rFonts w:hint="eastAsia" w:ascii="Times New Roman" w:hAnsi="Times New Roman"/>
          <w:b/>
          <w:color w:val="000000"/>
          <w:sz w:val="36"/>
        </w:rPr>
        <w:t xml:space="preserve">      日      期 ：</w:t>
      </w:r>
      <w:r>
        <w:rPr>
          <w:rFonts w:hint="eastAsia" w:ascii="Times New Roman" w:hAnsi="Times New Roman"/>
          <w:b/>
          <w:color w:val="000000"/>
          <w:sz w:val="36"/>
          <w:u w:val="single"/>
        </w:rPr>
        <w:t xml:space="preserve">               </w:t>
      </w:r>
      <w:bookmarkEnd w:id="151"/>
      <w:r/>
      <w:r/>
    </w:p>
    <w:p>
      <w:pPr>
        <w:pStyle w:val="1167"/>
        <w:rPr>
          <w:rFonts w:hint="eastAsia" w:ascii="宋体" w:hAnsi="宋体" w:eastAsia="宋体" w:cs="宋体"/>
          <w:color w:val="000000"/>
        </w:rPr>
      </w:pPr>
      <w:r>
        <w:rPr>
          <w:rFonts w:hint="eastAsia" w:ascii="宋体" w:hAnsi="宋体" w:eastAsia="宋体" w:cs="宋体"/>
          <w:color w:val="000000"/>
        </w:rPr>
      </w:r>
      <w:r/>
    </w:p>
    <w:p>
      <w:pPr>
        <w:pStyle w:val="1167"/>
        <w:rPr>
          <w:rFonts w:hint="eastAsia" w:ascii="宋体" w:hAnsi="宋体" w:eastAsia="宋体" w:cs="宋体"/>
          <w:color w:val="000000"/>
        </w:rPr>
      </w:pPr>
      <w:r>
        <w:rPr>
          <w:rFonts w:hint="eastAsia" w:ascii="宋体" w:hAnsi="宋体" w:eastAsia="宋体" w:cs="宋体"/>
          <w:color w:val="000000"/>
        </w:rPr>
      </w:r>
      <w:r/>
    </w:p>
    <w:p>
      <w:pPr>
        <w:pStyle w:val="1167"/>
        <w:rPr>
          <w:rFonts w:hint="eastAsia" w:ascii="宋体" w:hAnsi="宋体" w:eastAsia="宋体" w:cs="宋体"/>
          <w:color w:val="000000"/>
        </w:rPr>
      </w:pPr>
      <w:r>
        <w:rPr>
          <w:rFonts w:hint="eastAsia" w:ascii="宋体" w:hAnsi="宋体" w:eastAsia="宋体" w:cs="宋体"/>
          <w:color w:val="000000"/>
        </w:rPr>
      </w:r>
      <w:bookmarkEnd w:id="150"/>
      <w:r/>
    </w:p>
    <w:p>
      <w:pPr>
        <w:pStyle w:val="1167"/>
        <w:rPr>
          <w:rFonts w:hint="eastAsia" w:ascii="宋体" w:hAnsi="宋体" w:eastAsia="宋体" w:cs="宋体"/>
          <w:color w:val="000000"/>
        </w:rPr>
      </w:pPr>
      <w:r>
        <w:rPr>
          <w:rFonts w:hint="eastAsia" w:ascii="宋体" w:hAnsi="宋体" w:eastAsia="宋体" w:cs="宋体"/>
          <w:color w:val="000000"/>
        </w:rPr>
      </w:r>
      <w:r/>
    </w:p>
    <w:p>
      <w:pPr>
        <w:pStyle w:val="1167"/>
        <w:rPr>
          <w:rFonts w:hint="eastAsia" w:ascii="宋体" w:hAnsi="宋体" w:eastAsia="宋体" w:cs="宋体"/>
          <w:color w:val="000000"/>
        </w:rPr>
      </w:pPr>
      <w:r>
        <w:rPr>
          <w:rFonts w:hint="eastAsia" w:ascii="宋体" w:hAnsi="宋体" w:eastAsia="宋体" w:cs="宋体"/>
          <w:color w:val="000000"/>
        </w:rPr>
      </w:r>
      <w:r/>
    </w:p>
    <w:p>
      <w:pPr>
        <w:pStyle w:val="1167"/>
        <w:jc w:val="both"/>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1167"/>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投标文件目录</w:t>
      </w:r>
      <w:r/>
    </w:p>
    <w:p>
      <w:pPr>
        <w:pStyle w:val="1167"/>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一、投标响应承诺函</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二、投标人基本情况</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三、信用信息</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四、法人授权书</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五、投标函</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六、开标一览表</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七、投标报价明细表</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八、技术标准和要求</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九、技术参数响应</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十、项目实施方案</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十一、企业业绩</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十二、中小企业或残疾人福利性单位声明函</w:t>
      </w:r>
      <w:r/>
    </w:p>
    <w:p>
      <w:p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十三、投标所需其他材料</w:t>
      </w:r>
      <w:r/>
    </w:p>
    <w:p>
      <w:pPr>
        <w:pStyle w:val="1177"/>
        <w:rPr>
          <w:rFonts w:hint="eastAsia" w:ascii="仿宋" w:hAnsi="仿宋" w:eastAsia="仿宋" w:cs="仿宋"/>
          <w:b w:val="0"/>
          <w:bCs/>
          <w:color w:val="000000"/>
        </w:rPr>
        <w:outlineLvl w:val="1"/>
      </w:pPr>
      <w:r/>
      <w:bookmarkStart w:id="152" w:name="_Toc26005"/>
      <w:r/>
      <w:bookmarkStart w:id="153" w:name="_Toc20577"/>
      <w:r/>
      <w:bookmarkStart w:id="154" w:name="_Toc8978"/>
      <w:r>
        <w:rPr>
          <w:rFonts w:hint="eastAsia" w:ascii="仿宋" w:hAnsi="仿宋" w:eastAsia="仿宋" w:cs="仿宋"/>
          <w:b w:val="0"/>
          <w:bCs/>
          <w:color w:val="000000"/>
        </w:rPr>
        <w:br w:type="page" w:clear="all"/>
      </w:r>
      <w:r>
        <w:rPr>
          <w:rFonts w:hint="eastAsia" w:ascii="仿宋" w:hAnsi="仿宋" w:eastAsia="仿宋" w:cs="仿宋"/>
          <w:color w:val="000000"/>
        </w:rPr>
        <w:t xml:space="preserve">一、投标</w:t>
      </w:r>
      <w:bookmarkEnd w:id="152"/>
      <w:r/>
      <w:bookmarkEnd w:id="153"/>
      <w:r/>
      <w:bookmarkEnd w:id="154"/>
      <w:r>
        <w:rPr>
          <w:rFonts w:hint="eastAsia" w:ascii="仿宋" w:hAnsi="仿宋" w:eastAsia="仿宋" w:cs="仿宋"/>
          <w:color w:val="000000"/>
        </w:rPr>
        <w:t xml:space="preserve">响应承诺函</w:t>
      </w:r>
      <w:r/>
    </w:p>
    <w:p>
      <w:pPr>
        <w:pStyle w:val="1178"/>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78"/>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投标响应承诺函</w:t>
      </w:r>
      <w:r/>
    </w:p>
    <w:p>
      <w:pPr>
        <w:pStyle w:val="1178"/>
        <w:jc w:val="left"/>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（采购单位名称）：</w:t>
      </w:r>
      <w:r/>
    </w:p>
    <w:p>
      <w:pPr>
        <w:pStyle w:val="1178"/>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根据已收到的项目编号为</w:t>
      </w:r>
      <w:r>
        <w:rPr>
          <w:rFonts w:hint="eastAsia" w:ascii="仿宋" w:hAnsi="仿宋" w:eastAsia="仿宋" w:cs="仿宋"/>
          <w:color w:val="000000"/>
          <w:sz w:val="24"/>
          <w:szCs w:val="24"/>
          <w:u w:val="single"/>
        </w:rPr>
        <w:t xml:space="preserve">（项目编号）</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rPr>
        <w:t xml:space="preserve">（项目名称）</w:t>
      </w:r>
      <w:r>
        <w:rPr>
          <w:rFonts w:hint="eastAsia" w:ascii="仿宋" w:hAnsi="仿宋" w:eastAsia="仿宋" w:cs="仿宋"/>
          <w:color w:val="000000"/>
          <w:sz w:val="24"/>
          <w:szCs w:val="24"/>
        </w:rPr>
        <w:t xml:space="preserve">的招标文件，我方在参加本项目招投标活动中，特作出如下承诺：</w:t>
      </w:r>
      <w:r/>
    </w:p>
    <w:p>
      <w:pPr>
        <w:pStyle w:val="1178"/>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一、我方</w:t>
      </w:r>
      <w:r>
        <w:rPr>
          <w:rFonts w:hint="eastAsia" w:ascii="仿宋" w:hAnsi="仿宋" w:eastAsia="仿宋" w:cs="仿宋"/>
          <w:color w:val="000000"/>
          <w:sz w:val="24"/>
        </w:rPr>
        <w:t xml:space="preserve">具备《中华人民共和国政府采购法》第二十二条第一款规定的6项条件；</w:t>
      </w:r>
      <w:r/>
    </w:p>
    <w:p>
      <w:pPr>
        <w:pStyle w:val="1178"/>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78"/>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三、我方按招标文件要求提交投标文件，响应招标文件规定的投标有效期；</w:t>
      </w:r>
      <w:r/>
    </w:p>
    <w:p>
      <w:pPr>
        <w:pStyle w:val="1178"/>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四、如果我方的投标文件被接受，我方将</w:t>
      </w:r>
      <w:r>
        <w:rPr>
          <w:rFonts w:hint="eastAsia" w:ascii="仿宋" w:hAnsi="仿宋" w:eastAsia="仿宋" w:cs="仿宋"/>
          <w:color w:val="000000"/>
          <w:sz w:val="24"/>
          <w:szCs w:val="24"/>
          <w:lang w:eastAsia="zh-CN"/>
        </w:rPr>
        <w:t xml:space="preserve">按照《中华人民共和国</w:t>
      </w:r>
      <w:r>
        <w:rPr>
          <w:rFonts w:hint="eastAsia" w:ascii="仿宋" w:hAnsi="仿宋" w:eastAsia="仿宋" w:cs="仿宋"/>
          <w:color w:val="000000"/>
          <w:sz w:val="24"/>
          <w:szCs w:val="24"/>
        </w:rPr>
        <w:t xml:space="preserve">民法典（第三编合同）》及其他有关法律法规的规定，按期、按质、按量交付采购单位，全面做到履约守信；</w:t>
      </w:r>
      <w:r/>
    </w:p>
    <w:p>
      <w:pPr>
        <w:pStyle w:val="1178"/>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五、我方若违背本声明及承诺约定，经查实，自愿接受采购人及相关主管部门相应的规定处理，并依法承担相应的法律责任。</w:t>
      </w:r>
      <w:r/>
    </w:p>
    <w:p>
      <w:pPr>
        <w:pStyle w:val="1178"/>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六、我方同意采购人、采购代理机构将本函上网公开。</w:t>
      </w:r>
      <w:r/>
    </w:p>
    <w:p>
      <w:pPr>
        <w:pStyle w:val="1178"/>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78"/>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78"/>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投标人名称：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（盖CA电子公章）</w:t>
      </w:r>
      <w:r/>
    </w:p>
    <w:p>
      <w:pPr>
        <w:pStyle w:val="1178"/>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78"/>
        <w:ind w:firstLine="480"/>
        <w:rPr>
          <w:rFonts w:hint="eastAsia" w:ascii="仿宋" w:hAnsi="仿宋" w:eastAsia="仿宋" w:cs="仿宋"/>
          <w:color w:val="000000"/>
        </w:rPr>
      </w:pPr>
      <w:r>
        <w:rPr>
          <w:rFonts w:hint="eastAsia" w:ascii="仿宋" w:hAnsi="仿宋" w:eastAsia="仿宋" w:cs="仿宋"/>
          <w:color w:val="000000"/>
          <w:sz w:val="24"/>
          <w:szCs w:val="24"/>
        </w:rPr>
        <w:t xml:space="preserve">日期：    年    月   日</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1177"/>
        <w:rPr>
          <w:rFonts w:hint="eastAsia" w:ascii="仿宋" w:hAnsi="仿宋" w:eastAsia="仿宋" w:cs="仿宋"/>
          <w:color w:val="000000"/>
        </w:rPr>
        <w:outlineLvl w:val="1"/>
      </w:pPr>
      <w:r/>
      <w:bookmarkStart w:id="155" w:name="_Toc15099"/>
      <w:r>
        <w:rPr>
          <w:rFonts w:hint="eastAsia" w:ascii="仿宋" w:hAnsi="仿宋" w:eastAsia="仿宋" w:cs="仿宋"/>
          <w:color w:val="000000"/>
        </w:rPr>
        <w:t xml:space="preserve">二、投标人</w:t>
      </w:r>
      <w:bookmarkEnd w:id="155"/>
      <w:r>
        <w:rPr>
          <w:rFonts w:hint="eastAsia" w:ascii="仿宋" w:hAnsi="仿宋" w:eastAsia="仿宋" w:cs="仿宋"/>
          <w:color w:val="000000"/>
        </w:rPr>
        <w:t xml:space="preserve">基本情况表</w:t>
      </w:r>
      <w:r/>
    </w:p>
    <w:p>
      <w:pPr>
        <w:jc w:val="center"/>
        <w:spacing w:before="361" w:line="276" w:lineRule="auto"/>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投标人基本情况表</w:t>
      </w:r>
      <w:r/>
    </w:p>
    <w:tbl>
      <w:tblPr>
        <w:tblStyle w:val="8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Height w:val="737"/>
        </w:trPr>
        <w:tc>
          <w:tcPr>
            <w:tcW w:w="152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投标人名称</w:t>
            </w:r>
            <w:r/>
          </w:p>
        </w:tc>
        <w:tc>
          <w:tcPr>
            <w:gridSpan w:val="3"/>
            <w:tcW w:w="6998"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737"/>
        </w:trPr>
        <w:tc>
          <w:tcPr>
            <w:tcW w:w="152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w:t>
            </w:r>
            <w:r/>
          </w:p>
        </w:tc>
        <w:tc>
          <w:tcPr>
            <w:tcW w:w="3118"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注册地区</w:t>
            </w:r>
            <w:r/>
          </w:p>
        </w:tc>
        <w:tc>
          <w:tcPr>
            <w:tcW w:w="2604"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737"/>
        </w:trPr>
        <w:tc>
          <w:tcPr>
            <w:tcW w:w="152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p>
        </w:tc>
        <w:tc>
          <w:tcPr>
            <w:tcW w:w="3118"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邮政编码</w:t>
            </w:r>
            <w:r/>
          </w:p>
        </w:tc>
        <w:tc>
          <w:tcPr>
            <w:tcW w:w="2604"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737"/>
        </w:trPr>
        <w:tc>
          <w:tcPr>
            <w:tcW w:w="152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成立时间</w:t>
            </w:r>
            <w:r/>
          </w:p>
        </w:tc>
        <w:tc>
          <w:tcPr>
            <w:tcW w:w="3118"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单位性质</w:t>
            </w:r>
            <w:r/>
          </w:p>
        </w:tc>
        <w:tc>
          <w:tcPr>
            <w:tcW w:w="2604"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737"/>
        </w:trPr>
        <w:tc>
          <w:tcPr>
            <w:tcW w:w="152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注册号或社会信用代码</w:t>
            </w:r>
            <w:r/>
          </w:p>
        </w:tc>
        <w:tc>
          <w:tcPr>
            <w:tcW w:w="3118"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注册资本（万元）</w:t>
            </w:r>
            <w:r/>
          </w:p>
        </w:tc>
        <w:tc>
          <w:tcPr>
            <w:tcW w:w="2604"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737"/>
        </w:trPr>
        <w:tc>
          <w:tcPr>
            <w:tcW w:w="152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投标人类别</w:t>
            </w:r>
            <w:r/>
          </w:p>
        </w:tc>
        <w:tc>
          <w:tcPr>
            <w:gridSpan w:val="3"/>
            <w:tcW w:w="6998"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737"/>
        </w:trPr>
        <w:tc>
          <w:tcPr>
            <w:tcW w:w="152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开户银行</w:t>
            </w:r>
            <w:r/>
          </w:p>
        </w:tc>
        <w:tc>
          <w:tcPr>
            <w:tcW w:w="3118"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账号</w:t>
            </w:r>
            <w:r/>
          </w:p>
        </w:tc>
        <w:tc>
          <w:tcPr>
            <w:tcW w:w="2604"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737"/>
        </w:trPr>
        <w:tc>
          <w:tcPr>
            <w:tcW w:w="152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p>
        </w:tc>
        <w:tc>
          <w:tcPr>
            <w:tcW w:w="3118"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w:t>
            </w:r>
            <w:r/>
          </w:p>
        </w:tc>
        <w:tc>
          <w:tcPr>
            <w:tcW w:w="2604"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2376"/>
        </w:trPr>
        <w:tc>
          <w:tcPr>
            <w:tcW w:w="152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经营范围</w:t>
            </w:r>
            <w:r/>
          </w:p>
        </w:tc>
        <w:tc>
          <w:tcPr>
            <w:gridSpan w:val="3"/>
            <w:tcW w:w="6998" w:type="dxa"/>
            <w:textDirection w:val="lrTb"/>
            <w:noWrap w:val="false"/>
          </w:tcPr>
          <w:p>
            <w:pPr>
              <w:ind w:firstLine="1432"/>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1134"/>
        </w:trPr>
        <w:tc>
          <w:tcPr>
            <w:tcW w:w="1526"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c>
          <w:tcPr>
            <w:gridSpan w:val="3"/>
            <w:tcW w:w="6998" w:type="dxa"/>
            <w:vAlign w:val="center"/>
            <w:textDirection w:val="lrTb"/>
            <w:noWrap w:val="false"/>
          </w:tcPr>
          <w:p>
            <w:pPr>
              <w:jc w:val="cente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无需提供营业执照等证明材料</w:t>
            </w:r>
            <w:r/>
          </w:p>
        </w:tc>
      </w:tr>
    </w:tbl>
    <w:p>
      <w:pPr>
        <w:ind w:firstLine="480"/>
        <w:spacing w:line="276" w:lineRule="auto"/>
        <w:rPr>
          <w:rFonts w:hint="eastAsia" w:ascii="仿宋" w:hAnsi="仿宋" w:eastAsia="仿宋" w:cs="仿宋"/>
          <w:color w:val="000000"/>
          <w:sz w:val="24"/>
          <w:szCs w:val="21"/>
        </w:rPr>
      </w:pPr>
      <w:r>
        <w:rPr>
          <w:rFonts w:hint="eastAsia" w:ascii="仿宋" w:hAnsi="仿宋" w:eastAsia="仿宋" w:cs="仿宋"/>
          <w:color w:val="000000"/>
          <w:sz w:val="24"/>
          <w:szCs w:val="21"/>
        </w:rPr>
      </w:r>
      <w:r/>
    </w:p>
    <w:p>
      <w:pPr>
        <w:rPr>
          <w:rFonts w:hint="eastAsia" w:ascii="仿宋" w:hAnsi="仿宋" w:eastAsia="仿宋" w:cs="仿宋"/>
          <w:color w:val="000000"/>
        </w:rPr>
        <w:outlineLvl w:val="1"/>
      </w:pPr>
      <w:r>
        <w:rPr>
          <w:rFonts w:hint="eastAsia" w:ascii="仿宋" w:hAnsi="仿宋" w:eastAsia="仿宋" w:cs="仿宋"/>
          <w:color w:val="000000"/>
        </w:rPr>
        <w:br w:type="page" w:clear="all"/>
      </w:r>
      <w:bookmarkStart w:id="156" w:name="_Toc29506"/>
      <w:r/>
      <w:bookmarkStart w:id="157" w:name="_Toc3680"/>
      <w:r/>
      <w:bookmarkStart w:id="158" w:name="_Toc27409"/>
      <w:r/>
      <w:r/>
    </w:p>
    <w:p>
      <w:pPr>
        <w:rPr>
          <w:rFonts w:hint="eastAsia" w:ascii="仿宋" w:hAnsi="仿宋" w:eastAsia="仿宋" w:cs="仿宋"/>
          <w:b/>
          <w:color w:val="000000"/>
          <w:sz w:val="32"/>
          <w:szCs w:val="24"/>
        </w:rPr>
        <w:outlineLvl w:val="1"/>
      </w:pPr>
      <w:r>
        <w:rPr>
          <w:rFonts w:hint="eastAsia" w:ascii="仿宋" w:hAnsi="仿宋" w:eastAsia="仿宋" w:cs="仿宋"/>
          <w:b/>
          <w:color w:val="000000"/>
          <w:sz w:val="32"/>
          <w:szCs w:val="24"/>
        </w:rPr>
        <w:t xml:space="preserve">三、信用信息</w:t>
      </w:r>
      <w:r/>
    </w:p>
    <w:p>
      <w:pPr>
        <w:pStyle w:val="883"/>
        <w:jc w:val="center"/>
        <w:rPr>
          <w:rFonts w:hint="eastAsia" w:ascii="仿宋" w:hAnsi="仿宋" w:eastAsia="仿宋" w:cs="仿宋"/>
          <w:b/>
          <w:color w:val="000000"/>
          <w:sz w:val="32"/>
          <w:szCs w:val="24"/>
        </w:rPr>
      </w:pPr>
      <w:r>
        <w:rPr>
          <w:rFonts w:hint="eastAsia" w:ascii="仿宋" w:hAnsi="仿宋" w:eastAsia="仿宋" w:cs="仿宋"/>
          <w:b/>
          <w:color w:val="000000"/>
          <w:sz w:val="32"/>
          <w:szCs w:val="24"/>
        </w:rPr>
        <w:t xml:space="preserve">格式自拟</w:t>
      </w:r>
      <w:r/>
    </w:p>
    <w:p>
      <w:pPr>
        <w:pStyle w:val="883"/>
        <w:rPr>
          <w:rFonts w:hint="eastAsia" w:ascii="仿宋" w:hAnsi="仿宋" w:eastAsia="仿宋" w:cs="仿宋"/>
          <w:b/>
          <w:color w:val="000000"/>
          <w:sz w:val="32"/>
          <w:szCs w:val="24"/>
        </w:rPr>
      </w:pPr>
      <w:r>
        <w:rPr>
          <w:rFonts w:hint="eastAsia" w:ascii="仿宋" w:hAnsi="仿宋" w:eastAsia="仿宋" w:cs="仿宋"/>
          <w:b/>
          <w:color w:val="000000"/>
          <w:sz w:val="32"/>
          <w:szCs w:val="24"/>
        </w:rPr>
      </w:r>
      <w:r/>
    </w:p>
    <w:p>
      <w:pPr>
        <w:pStyle w:val="883"/>
        <w:sectPr>
          <w:footerReference w:type="default" r:id="rId13"/>
          <w:footnotePr/>
          <w:endnotePr/>
          <w:type w:val="continuous"/>
          <w:pgSz w:w="11906" w:h="16838" w:orient="portrait"/>
          <w:pgMar w:top="1667" w:right="1474" w:bottom="1667" w:left="1418" w:header="851" w:footer="992" w:gutter="0"/>
          <w:pgNumType w:start="1"/>
          <w:cols w:num="1" w:sep="0" w:space="1701" w:equalWidth="1"/>
          <w:docGrid w:linePitch="360"/>
        </w:sectPr>
      </w:pPr>
      <w:r/>
      <w:r/>
    </w:p>
    <w:p>
      <w:pPr>
        <w:rPr>
          <w:rFonts w:hint="eastAsia" w:ascii="仿宋" w:hAnsi="仿宋" w:eastAsia="仿宋" w:cs="仿宋"/>
          <w:b/>
          <w:color w:val="000000"/>
        </w:rPr>
        <w:outlineLvl w:val="1"/>
      </w:pPr>
      <w:r>
        <w:rPr>
          <w:rFonts w:hint="eastAsia" w:ascii="仿宋" w:hAnsi="仿宋" w:eastAsia="仿宋" w:cs="仿宋"/>
          <w:b/>
          <w:color w:val="000000"/>
          <w:sz w:val="32"/>
          <w:szCs w:val="24"/>
        </w:rPr>
        <w:t xml:space="preserve">四、</w:t>
      </w:r>
      <w:bookmarkEnd w:id="156"/>
      <w:r/>
      <w:bookmarkEnd w:id="157"/>
      <w:r>
        <w:rPr>
          <w:rFonts w:hint="eastAsia" w:ascii="仿宋" w:hAnsi="仿宋" w:eastAsia="仿宋" w:cs="仿宋"/>
          <w:b/>
          <w:color w:val="000000"/>
          <w:sz w:val="32"/>
          <w:szCs w:val="24"/>
        </w:rPr>
        <w:t xml:space="preserve">法人授权书</w:t>
      </w:r>
      <w:bookmarkEnd w:id="158"/>
      <w:r/>
      <w:r/>
    </w:p>
    <w:p>
      <w:pPr>
        <w:pStyle w:val="1178"/>
        <w:jc w:val="center"/>
        <w:rPr>
          <w:rFonts w:hint="eastAsia" w:ascii="仿宋" w:hAnsi="仿宋" w:eastAsia="仿宋" w:cs="仿宋"/>
          <w:bCs/>
          <w:color w:val="000000"/>
          <w:sz w:val="32"/>
          <w:szCs w:val="32"/>
        </w:rPr>
      </w:pPr>
      <w:r/>
      <w:bookmarkStart w:id="159" w:name="OLE_LINK6"/>
      <w:r>
        <w:rPr>
          <w:rFonts w:hint="eastAsia" w:ascii="仿宋" w:hAnsi="仿宋" w:eastAsia="仿宋" w:cs="仿宋"/>
          <w:bCs/>
          <w:color w:val="000000"/>
          <w:sz w:val="32"/>
          <w:szCs w:val="32"/>
        </w:rPr>
        <w:t xml:space="preserve">法人授权书</w:t>
      </w:r>
      <w:bookmarkEnd w:id="159"/>
      <w:r/>
      <w:r/>
    </w:p>
    <w:p>
      <w:pPr>
        <w:pStyle w:val="1297"/>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本授权书声明：____________（投标人名称）授权________________（被授权人的姓名）为我方就</w:t>
      </w:r>
      <w:r>
        <w:rPr>
          <w:rFonts w:hint="eastAsia" w:ascii="仿宋" w:hAnsi="仿宋" w:eastAsia="仿宋" w:cs="仿宋"/>
          <w:color w:val="000000"/>
          <w:sz w:val="24"/>
          <w:szCs w:val="24"/>
          <w:u w:val="single"/>
        </w:rPr>
        <w:t xml:space="preserve">（项目编号）</w:t>
      </w:r>
      <w:r>
        <w:rPr>
          <w:rFonts w:hint="eastAsia" w:ascii="仿宋" w:hAnsi="仿宋" w:eastAsia="仿宋" w:cs="仿宋"/>
          <w:color w:val="000000"/>
          <w:sz w:val="24"/>
          <w:szCs w:val="24"/>
        </w:rPr>
        <w:t xml:space="preserve">号</w:t>
      </w:r>
      <w:r>
        <w:rPr>
          <w:rFonts w:hint="eastAsia" w:ascii="仿宋" w:hAnsi="仿宋" w:eastAsia="仿宋" w:cs="仿宋"/>
          <w:color w:val="000000"/>
          <w:sz w:val="24"/>
          <w:szCs w:val="24"/>
          <w:u w:val="single"/>
        </w:rPr>
        <w:t xml:space="preserve">          （项目名称）           项目</w:t>
      </w:r>
      <w:r>
        <w:rPr>
          <w:rFonts w:hint="eastAsia" w:ascii="仿宋" w:hAnsi="仿宋" w:eastAsia="仿宋" w:cs="仿宋"/>
          <w:color w:val="000000"/>
          <w:sz w:val="24"/>
          <w:szCs w:val="24"/>
        </w:rPr>
        <w:t xml:space="preserve">采购活动的合法代理人，以本单位名义全权处理一切与该项目采购有关的事务。</w:t>
      </w:r>
      <w:r/>
    </w:p>
    <w:p>
      <w:pPr>
        <w:pStyle w:val="1297"/>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p>
    <w:p>
      <w:pPr>
        <w:pStyle w:val="1297"/>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297"/>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297"/>
        <w:ind w:firstLine="482"/>
        <w:spacing w:line="48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被授权人身份证号码：</w:t>
      </w:r>
      <w:r>
        <w:rPr>
          <w:rFonts w:hint="eastAsia" w:ascii="仿宋" w:hAnsi="仿宋" w:eastAsia="仿宋" w:cs="仿宋"/>
          <w:color w:val="000000"/>
          <w:sz w:val="24"/>
          <w:szCs w:val="24"/>
          <w:u w:val="single"/>
        </w:rPr>
        <w:t xml:space="preserve">                             </w:t>
      </w:r>
      <w:r/>
    </w:p>
    <w:p>
      <w:pPr>
        <w:pStyle w:val="1297"/>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被授权人联系电话：（手机）</w:t>
      </w:r>
      <w:r>
        <w:rPr>
          <w:rFonts w:hint="eastAsia" w:ascii="仿宋" w:hAnsi="仿宋" w:eastAsia="仿宋" w:cs="仿宋"/>
          <w:color w:val="000000"/>
          <w:sz w:val="24"/>
          <w:szCs w:val="24"/>
          <w:u w:val="single"/>
        </w:rPr>
        <w:t xml:space="preserve">                          </w:t>
      </w:r>
      <w:r/>
    </w:p>
    <w:p>
      <w:pPr>
        <w:pStyle w:val="1297"/>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（盖CA电子公章）</w:t>
      </w:r>
      <w:r/>
    </w:p>
    <w:p>
      <w:pPr>
        <w:pStyle w:val="1297"/>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t xml:space="preserve">                                         </w:t>
      </w:r>
      <w:r/>
    </w:p>
    <w:p>
      <w:pPr>
        <w:pStyle w:val="1297"/>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bookmarkStart w:id="160" w:name="_Hlt26671380"/>
      <w:r/>
      <w:bookmarkEnd w:id="160"/>
      <w:r/>
      <w:bookmarkStart w:id="161" w:name="_格式3__银行出具的资信证明"/>
      <w:r/>
      <w:bookmarkEnd w:id="161"/>
      <w:r/>
      <w:bookmarkStart w:id="162" w:name="_Hlt26955070"/>
      <w:r/>
      <w:bookmarkEnd w:id="162"/>
      <w:r>
        <w:rPr>
          <w:rFonts w:hint="eastAsia" w:ascii="仿宋" w:hAnsi="仿宋" w:eastAsia="仿宋" w:cs="仿宋"/>
          <w:color w:val="000000"/>
          <w:sz w:val="24"/>
          <w:szCs w:val="24"/>
          <w:u w:val="single"/>
        </w:rPr>
        <w:t xml:space="preserve">                                         </w:t>
      </w:r>
      <w:r/>
    </w:p>
    <w:p>
      <w:pPr>
        <w:pStyle w:val="1180"/>
        <w:ind w:firstLine="629"/>
        <w:spacing w:line="700" w:lineRule="exact"/>
        <w:rPr>
          <w:rFonts w:hint="eastAsia" w:ascii="仿宋" w:hAnsi="仿宋" w:eastAsia="仿宋" w:cs="仿宋"/>
          <w:color w:val="000000"/>
          <w:sz w:val="24"/>
        </w:rPr>
        <w:sectPr>
          <w:footerReference w:type="default" r:id="rId14"/>
          <w:footnotePr/>
          <w:endnotePr/>
          <w:type w:val="nextPage"/>
          <w:pgSz w:w="11906" w:h="16838" w:orient="portrait"/>
          <w:pgMar w:top="1667" w:right="1474" w:bottom="1667" w:left="1418" w:header="851" w:footer="992" w:gutter="0"/>
          <w:cols w:num="1" w:sep="0" w:space="1701" w:equalWidth="1"/>
          <w:docGrid w:linePitch="360"/>
        </w:sectPr>
      </w:pPr>
      <w:r>
        <w:rPr>
          <w:rFonts w:hint="eastAsia" w:ascii="仿宋" w:hAnsi="仿宋" w:eastAsia="仿宋" w:cs="仿宋"/>
          <w:color w:val="000000"/>
          <w:sz w:val="24"/>
        </w:rPr>
      </w:r>
      <w:r/>
    </w:p>
    <w:p>
      <w:pPr>
        <w:pStyle w:val="1183"/>
        <w:spacing w:line="360" w:lineRule="auto"/>
        <w:rPr>
          <w:rFonts w:hint="eastAsia" w:ascii="仿宋" w:hAnsi="仿宋" w:eastAsia="仿宋" w:cs="仿宋"/>
          <w:color w:val="000000"/>
        </w:rPr>
        <w:outlineLvl w:val="1"/>
      </w:pPr>
      <w:r/>
      <w:bookmarkStart w:id="163" w:name="_Toc13550"/>
      <w:r/>
      <w:bookmarkStart w:id="164" w:name="_Toc27199"/>
      <w:r/>
      <w:bookmarkStart w:id="165" w:name="_Toc30543"/>
      <w:r>
        <w:rPr>
          <w:rFonts w:hint="eastAsia" w:ascii="仿宋" w:hAnsi="仿宋" w:eastAsia="仿宋" w:cs="仿宋"/>
          <w:color w:val="000000"/>
        </w:rPr>
        <w:t xml:space="preserve">五、投标函</w:t>
      </w:r>
      <w:r/>
    </w:p>
    <w:p>
      <w:pPr>
        <w:pStyle w:val="1183"/>
        <w:jc w:val="center"/>
        <w:spacing w:line="360" w:lineRule="auto"/>
        <w:rPr>
          <w:rFonts w:hint="eastAsia" w:ascii="仿宋" w:hAnsi="仿宋" w:eastAsia="仿宋" w:cs="仿宋"/>
          <w:b w:val="0"/>
          <w:bCs/>
          <w:color w:val="000000"/>
        </w:rPr>
        <w:outlineLvl w:val="1"/>
      </w:pPr>
      <w:r>
        <w:rPr>
          <w:rFonts w:hint="eastAsia" w:ascii="仿宋" w:hAnsi="仿宋" w:eastAsia="仿宋" w:cs="仿宋"/>
          <w:b w:val="0"/>
          <w:bCs/>
          <w:color w:val="000000"/>
        </w:rPr>
        <w:t xml:space="preserve">投标函</w:t>
      </w:r>
      <w:r/>
    </w:p>
    <w:p>
      <w:pPr>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致：</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t xml:space="preserve">（采购人名称）</w:t>
      </w:r>
      <w:r/>
    </w:p>
    <w:p>
      <w:pPr>
        <w:ind w:firstLine="480"/>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根据贵方（</w:t>
      </w:r>
      <w:r>
        <w:rPr>
          <w:rFonts w:hint="eastAsia" w:ascii="仿宋" w:hAnsi="仿宋" w:eastAsia="仿宋" w:cs="仿宋"/>
          <w:b/>
          <w:color w:val="000000"/>
          <w:sz w:val="24"/>
          <w:szCs w:val="24"/>
          <w:u w:val="single"/>
        </w:rPr>
        <w:t xml:space="preserve">项目编号）      （项目名称）</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1"/>
        </w:rPr>
        <w:t xml:space="preserve">招标文件，正式授权下述签字人_________________（姓名）代表我方______________（投标人的名称），全权处理本次项目投标的有关事宜。</w:t>
      </w:r>
      <w:r/>
    </w:p>
    <w:p>
      <w:pPr>
        <w:ind w:firstLine="480"/>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据此函，__________签字人兹宣布同意如下：</w:t>
      </w:r>
      <w:r/>
    </w:p>
    <w:p>
      <w:pPr>
        <w:ind w:firstLine="480"/>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1.按招标文件规定的各项要求，向买方提供所需货物（包含与货物相关的服务）。</w:t>
      </w:r>
      <w:r/>
    </w:p>
    <w:p>
      <w:pPr>
        <w:ind w:firstLine="480"/>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2.我们完全理解贵方不一定将合同授予最低报价的投标人。</w:t>
      </w:r>
      <w:r/>
    </w:p>
    <w:p>
      <w:pPr>
        <w:ind w:firstLine="480"/>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6.一旦我方中标，我方将根据招标文件的规定，严格履行合同的责任和义务，并保证在招标文件规定的时间内完成项目，交付买方验收、使用。</w:t>
      </w:r>
      <w:r/>
    </w:p>
    <w:p>
      <w:pPr>
        <w:ind w:firstLine="480"/>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7.一旦我方中标，我方将按招标文件中规定的金额支付招标服务费。</w:t>
      </w:r>
      <w:r/>
    </w:p>
    <w:p>
      <w:pPr>
        <w:ind w:left="425"/>
        <w:jc w:val="left"/>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8.与</w:t>
      </w:r>
      <w:r>
        <w:rPr>
          <w:rFonts w:hint="eastAsia" w:ascii="仿宋" w:hAnsi="仿宋" w:eastAsia="仿宋" w:cs="仿宋"/>
          <w:color w:val="000000"/>
          <w:sz w:val="24"/>
          <w:szCs w:val="21"/>
          <w:lang w:eastAsia="zh-CN"/>
        </w:rPr>
        <w:t xml:space="preserve">本次</w:t>
      </w:r>
      <w:r>
        <w:rPr>
          <w:rFonts w:hint="eastAsia" w:ascii="仿宋" w:hAnsi="仿宋" w:eastAsia="仿宋" w:cs="仿宋"/>
          <w:color w:val="000000"/>
          <w:sz w:val="24"/>
          <w:szCs w:val="21"/>
        </w:rPr>
        <w:t xml:space="preserve">投标有关的正式通讯地址为：</w:t>
      </w:r>
      <w:r/>
    </w:p>
    <w:p>
      <w:pPr>
        <w:ind w:left="420" w:firstLine="480"/>
        <w:jc w:val="left"/>
        <w:spacing w:line="276"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地        址：</w:t>
      </w:r>
      <w:r/>
    </w:p>
    <w:p>
      <w:pPr>
        <w:ind w:left="420" w:firstLine="480"/>
        <w:jc w:val="left"/>
        <w:spacing w:line="276"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电        话：</w:t>
      </w:r>
      <w:r/>
    </w:p>
    <w:p>
      <w:pPr>
        <w:ind w:left="420" w:firstLine="480"/>
        <w:jc w:val="left"/>
        <w:spacing w:line="276"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投标人全称（CA公章）：</w:t>
      </w:r>
      <w:r/>
    </w:p>
    <w:p>
      <w:pPr>
        <w:ind w:left="420" w:firstLine="480"/>
        <w:jc w:val="left"/>
        <w:spacing w:line="276"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日        期：________年____月____日</w:t>
      </w:r>
      <w:r/>
    </w:p>
    <w:p>
      <w:pPr>
        <w:rPr>
          <w:rFonts w:hint="eastAsia" w:ascii="仿宋" w:hAnsi="仿宋" w:eastAsia="仿宋" w:cs="仿宋"/>
          <w:bCs/>
          <w:color w:val="000000"/>
        </w:rPr>
      </w:pPr>
      <w:r>
        <w:rPr>
          <w:rFonts w:hint="eastAsia" w:ascii="仿宋" w:hAnsi="仿宋" w:eastAsia="仿宋" w:cs="仿宋"/>
          <w:bCs/>
          <w:color w:val="000000"/>
        </w:rPr>
        <w:br w:type="page" w:clear="all"/>
      </w:r>
      <w:r/>
    </w:p>
    <w:p>
      <w:pPr>
        <w:pStyle w:val="1183"/>
        <w:rPr>
          <w:rFonts w:hint="eastAsia" w:ascii="仿宋" w:hAnsi="仿宋" w:eastAsia="仿宋" w:cs="仿宋"/>
          <w:color w:val="000000"/>
        </w:rPr>
        <w:outlineLvl w:val="1"/>
      </w:pPr>
      <w:r>
        <w:rPr>
          <w:rFonts w:hint="eastAsia" w:ascii="仿宋" w:hAnsi="仿宋" w:eastAsia="仿宋" w:cs="仿宋"/>
          <w:color w:val="000000"/>
        </w:rPr>
        <w:t xml:space="preserve">六、开标一览表</w:t>
      </w:r>
      <w:bookmarkEnd w:id="163"/>
      <w:r/>
      <w:bookmarkEnd w:id="164"/>
      <w:r/>
      <w:bookmarkEnd w:id="165"/>
      <w:r/>
      <w:r/>
    </w:p>
    <w:p>
      <w:pPr>
        <w:pStyle w:val="1184"/>
        <w:rPr>
          <w:rFonts w:hint="eastAsia" w:ascii="仿宋" w:hAnsi="仿宋" w:eastAsia="仿宋" w:cs="仿宋"/>
          <w:color w:val="000000"/>
        </w:rPr>
      </w:pPr>
      <w:r>
        <w:rPr>
          <w:rFonts w:hint="eastAsia" w:ascii="仿宋" w:hAnsi="仿宋" w:eastAsia="仿宋" w:cs="仿宋"/>
          <w:color w:val="000000"/>
        </w:rPr>
      </w:r>
      <w:r/>
    </w:p>
    <w:p>
      <w:pPr>
        <w:pStyle w:val="1184"/>
        <w:rPr>
          <w:rFonts w:hint="eastAsia" w:ascii="仿宋" w:hAnsi="仿宋" w:eastAsia="仿宋" w:cs="仿宋"/>
          <w:color w:val="000000"/>
        </w:rPr>
      </w:pPr>
      <w:r>
        <w:rPr>
          <w:rFonts w:hint="eastAsia" w:ascii="仿宋" w:hAnsi="仿宋" w:eastAsia="仿宋" w:cs="仿宋"/>
          <w:color w:val="000000"/>
        </w:rPr>
        <w:t xml:space="preserve">投标人全称（CA公章）：</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采购项目名称：</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采购项目编号： </w:t>
      </w:r>
      <w:r/>
    </w:p>
    <w:tbl>
      <w:tblPr>
        <w:tblStyle w:val="986"/>
        <w:tblW w:w="93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6"/>
        <w:gridCol w:w="7182"/>
      </w:tblGrid>
      <w:tr>
        <w:trPr/>
        <w:tc>
          <w:tcPr>
            <w:gridSpan w:val="2"/>
            <w:tcW w:w="9338"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投标总报价（元）</w:t>
            </w:r>
            <w:r/>
          </w:p>
        </w:tc>
      </w:tr>
      <w:tr>
        <w:trPr/>
        <w:tc>
          <w:tcPr>
            <w:tcW w:w="2156" w:type="dxa"/>
            <w:textDirection w:val="lrTb"/>
            <w:noWrap w:val="false"/>
          </w:tcPr>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8"/>
                <w:szCs w:val="28"/>
              </w:rPr>
              <w:t xml:space="preserve">小写金额：</w:t>
            </w:r>
            <w:r/>
          </w:p>
        </w:tc>
        <w:tc>
          <w:tcPr>
            <w:tcW w:w="7182" w:type="dxa"/>
            <w:textDirection w:val="lrTb"/>
            <w:noWrap w:val="false"/>
          </w:tcPr>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2156" w:type="dxa"/>
            <w:textDirection w:val="lrTb"/>
            <w:noWrap w:val="false"/>
          </w:tcPr>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8"/>
                <w:szCs w:val="28"/>
              </w:rPr>
              <w:t xml:space="preserve">大写金额：</w:t>
            </w:r>
            <w:r/>
          </w:p>
        </w:tc>
        <w:tc>
          <w:tcPr>
            <w:tcW w:w="7182" w:type="dxa"/>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bl>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sz w:val="24"/>
        </w:rPr>
      </w:pPr>
      <w:r>
        <w:rPr>
          <w:rFonts w:hint="eastAsia" w:ascii="仿宋" w:hAnsi="仿宋" w:eastAsia="仿宋" w:cs="仿宋"/>
          <w:color w:val="000000"/>
        </w:rPr>
        <w:t xml:space="preserve">                                            </w:t>
      </w:r>
      <w:bookmarkStart w:id="166" w:name="_Toc12113"/>
      <w:r>
        <w:rPr>
          <w:rFonts w:hint="eastAsia" w:ascii="仿宋" w:hAnsi="仿宋" w:eastAsia="仿宋" w:cs="仿宋"/>
          <w:color w:val="000000"/>
          <w:sz w:val="24"/>
        </w:rPr>
        <w:t xml:space="preserve">日期：     年     月     日</w:t>
      </w:r>
      <w:bookmarkEnd w:id="166"/>
      <w:r/>
      <w:r/>
    </w:p>
    <w:p>
      <w:pPr>
        <w:pStyle w:val="1186"/>
        <w:spacing w:line="360" w:lineRule="auto"/>
        <w:rPr>
          <w:rFonts w:hint="eastAsia" w:ascii="仿宋" w:hAnsi="仿宋" w:eastAsia="仿宋" w:cs="仿宋"/>
          <w:color w:val="000000"/>
        </w:rPr>
        <w:outlineLvl w:val="1"/>
      </w:pPr>
      <w:r>
        <w:rPr>
          <w:rFonts w:hint="eastAsia" w:ascii="仿宋" w:hAnsi="仿宋" w:eastAsia="仿宋" w:cs="仿宋"/>
          <w:color w:val="000000"/>
        </w:rPr>
        <w:br w:type="page" w:clear="all"/>
      </w:r>
      <w:bookmarkStart w:id="167" w:name="_Toc956"/>
      <w:r/>
      <w:bookmarkStart w:id="168" w:name="_Toc26543"/>
      <w:r/>
      <w:bookmarkStart w:id="169" w:name="_Toc12614"/>
      <w:r>
        <w:rPr>
          <w:rFonts w:hint="eastAsia" w:ascii="仿宋" w:hAnsi="仿宋" w:eastAsia="仿宋" w:cs="仿宋"/>
          <w:color w:val="000000"/>
        </w:rPr>
        <w:t xml:space="preserve">七、</w:t>
      </w:r>
      <w:bookmarkEnd w:id="167"/>
      <w:r/>
      <w:bookmarkEnd w:id="168"/>
      <w:r>
        <w:rPr>
          <w:rFonts w:hint="eastAsia" w:ascii="仿宋" w:hAnsi="仿宋" w:eastAsia="仿宋" w:cs="仿宋"/>
          <w:color w:val="000000"/>
        </w:rPr>
        <w:t xml:space="preserve">投标报价明细表</w:t>
      </w:r>
      <w:bookmarkEnd w:id="169"/>
      <w:r/>
      <w:r/>
    </w:p>
    <w:p>
      <w:pPr>
        <w:pStyle w:val="1184"/>
        <w:spacing w:line="360" w:lineRule="auto"/>
        <w:rPr>
          <w:rFonts w:hint="eastAsia" w:ascii="仿宋" w:hAnsi="仿宋" w:eastAsia="仿宋" w:cs="仿宋"/>
          <w:color w:val="000000"/>
        </w:rPr>
      </w:pPr>
      <w:r>
        <w:rPr>
          <w:rFonts w:hint="eastAsia" w:ascii="仿宋" w:hAnsi="仿宋" w:eastAsia="仿宋" w:cs="仿宋"/>
          <w:color w:val="000000"/>
        </w:rPr>
        <w:t xml:space="preserve">投标人全称（CA公章）：</w:t>
      </w:r>
      <w:r/>
    </w:p>
    <w:p>
      <w:pPr>
        <w:pStyle w:val="1184"/>
        <w:spacing w:line="360" w:lineRule="auto"/>
        <w:rPr>
          <w:rFonts w:hint="eastAsia" w:ascii="仿宋" w:hAnsi="仿宋" w:eastAsia="仿宋" w:cs="仿宋"/>
          <w:color w:val="000000"/>
        </w:rPr>
      </w:pPr>
      <w:r>
        <w:rPr>
          <w:rFonts w:hint="eastAsia" w:ascii="仿宋" w:hAnsi="仿宋" w:eastAsia="仿宋" w:cs="仿宋"/>
          <w:color w:val="000000"/>
        </w:rPr>
        <w:t xml:space="preserve">采购项目名称：</w:t>
      </w:r>
      <w:r/>
    </w:p>
    <w:p>
      <w:pPr>
        <w:pStyle w:val="1184"/>
        <w:spacing w:line="360" w:lineRule="auto"/>
        <w:rPr>
          <w:rFonts w:hint="eastAsia" w:ascii="仿宋" w:hAnsi="仿宋" w:eastAsia="仿宋" w:cs="仿宋"/>
          <w:color w:val="000000"/>
        </w:rPr>
      </w:pPr>
      <w:r>
        <w:rPr>
          <w:rFonts w:hint="eastAsia" w:ascii="仿宋" w:hAnsi="仿宋" w:eastAsia="仿宋" w:cs="仿宋"/>
          <w:color w:val="000000"/>
        </w:rPr>
        <w:t xml:space="preserve">采购项目编号： </w:t>
      </w:r>
      <w:r/>
    </w:p>
    <w:tbl>
      <w:tblPr>
        <w:tblStyle w:val="87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67"/>
        </w:trPr>
        <w:tc>
          <w:tcPr>
            <w:tcW w:w="556" w:type="dxa"/>
            <w:textDirection w:val="lrTb"/>
            <w:noWrap w:val="false"/>
          </w:tcPr>
          <w:p>
            <w:pPr>
              <w:jc w:val="center"/>
              <w:spacing w:line="276" w:lineRule="auto"/>
              <w:rPr>
                <w:rFonts w:hint="eastAsia" w:ascii="仿宋" w:hAnsi="仿宋" w:eastAsia="仿宋" w:cs="仿宋"/>
                <w:color w:val="000000"/>
                <w:szCs w:val="21"/>
              </w:rPr>
            </w:pPr>
            <w:r/>
            <w:bookmarkStart w:id="170" w:name="_Toc17418"/>
            <w:r>
              <w:rPr>
                <w:rFonts w:hint="eastAsia" w:ascii="仿宋" w:hAnsi="仿宋" w:eastAsia="仿宋" w:cs="仿宋"/>
                <w:color w:val="000000"/>
                <w:szCs w:val="21"/>
              </w:rPr>
              <w:t xml:space="preserve">序号</w:t>
            </w:r>
            <w:r/>
          </w:p>
        </w:tc>
        <w:tc>
          <w:tcPr>
            <w:tcW w:w="1036" w:type="dxa"/>
            <w:vAlign w:val="center"/>
            <w:textDirection w:val="lrTb"/>
            <w:noWrap w:val="false"/>
          </w:tcPr>
          <w:p>
            <w:pPr>
              <w:jc w:val="center"/>
              <w:spacing w:line="276"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品目</w:t>
            </w:r>
            <w:r/>
          </w:p>
          <w:p>
            <w:pPr>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名称</w:t>
            </w:r>
            <w:r/>
          </w:p>
        </w:tc>
        <w:tc>
          <w:tcPr>
            <w:tcW w:w="966" w:type="dxa"/>
            <w:vAlign w:val="center"/>
            <w:textDirection w:val="lrTb"/>
            <w:noWrap w:val="false"/>
          </w:tcPr>
          <w:p>
            <w:pPr>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品牌</w:t>
            </w:r>
            <w:r/>
          </w:p>
        </w:tc>
        <w:tc>
          <w:tcPr>
            <w:tcW w:w="1414"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规格</w:t>
            </w:r>
            <w:r/>
          </w:p>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型号</w:t>
            </w:r>
            <w:r/>
          </w:p>
        </w:tc>
        <w:tc>
          <w:tcPr>
            <w:tcW w:w="784"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产地</w:t>
            </w:r>
            <w:r/>
          </w:p>
        </w:tc>
        <w:tc>
          <w:tcPr>
            <w:tcW w:w="980"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交付期</w:t>
            </w:r>
            <w:r/>
          </w:p>
        </w:tc>
        <w:tc>
          <w:tcPr>
            <w:tcW w:w="727"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数量</w:t>
            </w:r>
            <w:r/>
          </w:p>
        </w:tc>
        <w:tc>
          <w:tcPr>
            <w:tcW w:w="1372"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分项单价</w:t>
            </w:r>
            <w:r/>
          </w:p>
        </w:tc>
        <w:tc>
          <w:tcPr>
            <w:tcW w:w="1246"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分项总价</w:t>
            </w:r>
            <w:r/>
          </w:p>
        </w:tc>
      </w:tr>
      <w:tr>
        <w:trPr>
          <w:cantSplit/>
          <w:trHeight w:val="567"/>
        </w:trPr>
        <w:tc>
          <w:tcPr>
            <w:tcW w:w="556"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03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96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414"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784"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980"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727"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372"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24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r>
      <w:tr>
        <w:trPr>
          <w:cantSplit/>
          <w:trHeight w:val="567"/>
        </w:trPr>
        <w:tc>
          <w:tcPr>
            <w:tcW w:w="556"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03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96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414"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784"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980"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727"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372"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24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r>
      <w:tr>
        <w:trPr>
          <w:cantSplit/>
          <w:trHeight w:val="567"/>
        </w:trPr>
        <w:tc>
          <w:tcPr>
            <w:tcW w:w="556"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03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96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414"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784"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980"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727"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372"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24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r>
      <w:tr>
        <w:trPr>
          <w:cantSplit/>
          <w:trHeight w:val="567"/>
        </w:trPr>
        <w:tc>
          <w:tcPr>
            <w:tcW w:w="556"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03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96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414"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784"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980"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727"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372"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24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r>
      <w:tr>
        <w:trPr>
          <w:cantSplit/>
          <w:trHeight w:val="567"/>
        </w:trPr>
        <w:tc>
          <w:tcPr>
            <w:tcW w:w="55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w:t>
            </w:r>
            <w:r/>
          </w:p>
        </w:tc>
        <w:tc>
          <w:tcPr>
            <w:tcW w:w="103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w:t>
            </w:r>
            <w:r/>
          </w:p>
        </w:tc>
        <w:tc>
          <w:tcPr>
            <w:tcW w:w="96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414"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784"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980"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727"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372"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246"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r>
      <w:tr>
        <w:trPr>
          <w:cantSplit/>
          <w:trHeight w:val="567"/>
        </w:trPr>
        <w:tc>
          <w:tcPr>
            <w:gridSpan w:val="8"/>
            <w:tcW w:w="7835" w:type="dxa"/>
            <w:vAlign w:val="center"/>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 w:val="28"/>
                <w:szCs w:val="28"/>
              </w:rPr>
              <w:t xml:space="preserve">投标总报价（人民币：元）</w:t>
            </w:r>
            <w:r/>
          </w:p>
        </w:tc>
        <w:tc>
          <w:tcPr>
            <w:tcW w:w="1246" w:type="dxa"/>
            <w:textDirection w:val="lrTb"/>
            <w:noWrap w:val="false"/>
          </w:tcPr>
          <w:p>
            <w:pPr>
              <w:spacing w:line="276" w:lineRule="auto"/>
              <w:rPr>
                <w:rFonts w:hint="eastAsia" w:ascii="仿宋" w:hAnsi="仿宋" w:eastAsia="仿宋" w:cs="仿宋"/>
                <w:color w:val="000000"/>
                <w:szCs w:val="21"/>
              </w:rPr>
            </w:pPr>
            <w:r>
              <w:rPr>
                <w:rFonts w:hint="eastAsia" w:ascii="仿宋" w:hAnsi="仿宋" w:eastAsia="仿宋" w:cs="仿宋"/>
                <w:color w:val="000000"/>
                <w:szCs w:val="21"/>
              </w:rPr>
            </w:r>
            <w:r/>
          </w:p>
        </w:tc>
      </w:tr>
    </w:tbl>
    <w:p>
      <w:pPr>
        <w:spacing w:line="0" w:lineRule="atLeast"/>
        <w:rPr>
          <w:rFonts w:hint="eastAsia" w:ascii="仿宋" w:hAnsi="仿宋" w:eastAsia="仿宋" w:cs="仿宋"/>
          <w:color w:val="000000"/>
        </w:rPr>
      </w:pPr>
      <w:r>
        <w:rPr>
          <w:rFonts w:hint="eastAsia" w:ascii="仿宋" w:hAnsi="仿宋" w:eastAsia="仿宋" w:cs="仿宋"/>
          <w:color w:val="000000"/>
        </w:rPr>
      </w:r>
      <w:r/>
    </w:p>
    <w:p>
      <w:pPr>
        <w:ind w:firstLine="48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行数不够，可自行添加。</w:t>
      </w:r>
      <w:r/>
    </w:p>
    <w:p>
      <w:pPr>
        <w:ind w:firstLine="480"/>
        <w:spacing w:line="276" w:lineRule="auto"/>
        <w:rPr>
          <w:rFonts w:hint="eastAsia" w:ascii="仿宋" w:hAnsi="仿宋" w:eastAsia="仿宋" w:cs="仿宋"/>
          <w:color w:val="000000"/>
          <w:sz w:val="24"/>
          <w:szCs w:val="21"/>
        </w:rPr>
      </w:pPr>
      <w:r>
        <w:rPr>
          <w:rFonts w:hint="eastAsia" w:ascii="仿宋" w:hAnsi="仿宋" w:eastAsia="仿宋" w:cs="仿宋"/>
          <w:color w:val="000000"/>
          <w:sz w:val="24"/>
          <w:szCs w:val="24"/>
        </w:rPr>
        <w:t xml:space="preserve">备注：1.投标报价</w:t>
      </w:r>
      <w:r>
        <w:rPr>
          <w:rFonts w:hint="eastAsia" w:ascii="仿宋" w:hAnsi="仿宋" w:eastAsia="仿宋" w:cs="仿宋"/>
          <w:color w:val="000000"/>
          <w:sz w:val="24"/>
          <w:szCs w:val="21"/>
        </w:rPr>
        <w:t xml:space="preserve">采用总承包方式，“投标总报价”应包括所投货物（包含与货物相关的服务）费用、安装调试费、测试验收费、培训费、运行维护费用、税金、国际国内运输保险其他有关的为完成本项目发生的所有费用，招标文件中另有规定的除外。</w:t>
      </w:r>
      <w:r/>
    </w:p>
    <w:p>
      <w:pPr>
        <w:ind w:firstLine="480"/>
        <w:spacing w:line="276"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rPr>
        <w:t xml:space="preserve">2.</w:t>
      </w:r>
      <w:r>
        <w:rPr>
          <w:rFonts w:hint="eastAsia" w:ascii="仿宋" w:hAnsi="仿宋" w:eastAsia="仿宋" w:cs="仿宋"/>
          <w:color w:val="000000"/>
          <w:szCs w:val="21"/>
        </w:rPr>
        <w:t xml:space="preserve">“</w:t>
      </w:r>
      <w:r>
        <w:rPr>
          <w:rFonts w:hint="eastAsia" w:ascii="仿宋" w:hAnsi="仿宋" w:eastAsia="仿宋" w:cs="仿宋"/>
          <w:color w:val="000000"/>
          <w:sz w:val="24"/>
          <w:szCs w:val="21"/>
        </w:rPr>
        <w:t xml:space="preserve">投标报价明细表</w:t>
      </w:r>
      <w:r>
        <w:rPr>
          <w:rFonts w:hint="eastAsia" w:ascii="仿宋" w:hAnsi="仿宋" w:eastAsia="仿宋" w:cs="仿宋"/>
          <w:color w:val="000000"/>
          <w:szCs w:val="21"/>
        </w:rPr>
        <w:t xml:space="preserve">”</w:t>
      </w:r>
      <w:r>
        <w:rPr>
          <w:rFonts w:hint="eastAsia" w:ascii="仿宋" w:hAnsi="仿宋" w:eastAsia="仿宋" w:cs="仿宋"/>
          <w:color w:val="000000"/>
          <w:sz w:val="24"/>
          <w:szCs w:val="21"/>
        </w:rPr>
        <w:t xml:space="preserve">中“投</w:t>
      </w:r>
      <w:r>
        <w:rPr>
          <w:rFonts w:hint="eastAsia" w:ascii="仿宋" w:hAnsi="仿宋" w:eastAsia="仿宋" w:cs="仿宋"/>
          <w:color w:val="000000"/>
          <w:sz w:val="24"/>
          <w:szCs w:val="21"/>
          <w:highlight w:val="none"/>
        </w:rPr>
        <w:t xml:space="preserve">标总报价”数额应当与“开标一览表”中“投标总报价”数额一致。</w:t>
      </w:r>
      <w:r/>
    </w:p>
    <w:p>
      <w:pPr>
        <w:ind w:firstLine="480"/>
        <w:spacing w:line="276" w:lineRule="auto"/>
        <w:rPr>
          <w:rFonts w:hint="eastAsia" w:ascii="仿宋" w:hAnsi="仿宋" w:eastAsia="仿宋" w:cs="仿宋"/>
          <w:color w:val="000000"/>
          <w:sz w:val="24"/>
          <w:szCs w:val="21"/>
        </w:rPr>
      </w:pPr>
      <w:r>
        <w:rPr>
          <w:rFonts w:hint="eastAsia" w:ascii="仿宋" w:hAnsi="仿宋" w:eastAsia="仿宋" w:cs="仿宋"/>
          <w:color w:val="000000"/>
          <w:sz w:val="24"/>
          <w:szCs w:val="21"/>
          <w:highlight w:val="none"/>
        </w:rPr>
        <w:t xml:space="preserve">3.“投标报价明细表”中的</w:t>
      </w:r>
      <w:bookmarkStart w:id="171" w:name="OLE_LINK20"/>
      <w:r/>
      <w:bookmarkStart w:id="172" w:name="OLE_LINK21"/>
      <w:r>
        <w:rPr>
          <w:rFonts w:hint="eastAsia" w:ascii="仿宋" w:hAnsi="仿宋" w:eastAsia="仿宋" w:cs="仿宋"/>
          <w:color w:val="000000"/>
          <w:sz w:val="24"/>
          <w:szCs w:val="21"/>
          <w:highlight w:val="none"/>
        </w:rPr>
        <w:t xml:space="preserve">品目</w:t>
      </w:r>
      <w:bookmarkEnd w:id="171"/>
      <w:r/>
      <w:bookmarkEnd w:id="172"/>
      <w:r>
        <w:rPr>
          <w:rFonts w:hint="eastAsia" w:ascii="仿宋" w:hAnsi="仿宋" w:eastAsia="仿宋" w:cs="仿宋"/>
          <w:color w:val="000000"/>
          <w:sz w:val="24"/>
          <w:szCs w:val="21"/>
          <w:highlight w:val="none"/>
        </w:rPr>
        <w:t xml:space="preserve">号（对应设备或分项名</w:t>
      </w:r>
      <w:r>
        <w:rPr>
          <w:rFonts w:hint="eastAsia" w:ascii="仿宋" w:hAnsi="仿宋" w:eastAsia="仿宋" w:cs="仿宋"/>
          <w:color w:val="000000"/>
          <w:sz w:val="24"/>
          <w:szCs w:val="21"/>
        </w:rPr>
        <w:t xml:space="preserve">称）、交货期、数量必须与招标文件《第四章 采购需求》采购清单内容一致，有不符或者缺漏视为无效投标。</w:t>
      </w:r>
      <w:r/>
    </w:p>
    <w:p>
      <w:pPr>
        <w:ind w:firstLine="480"/>
        <w:spacing w:line="276" w:lineRule="auto"/>
        <w:rPr>
          <w:rFonts w:hint="eastAsia" w:ascii="仿宋" w:hAnsi="仿宋" w:eastAsia="仿宋" w:cs="仿宋"/>
          <w:color w:val="000000"/>
          <w:sz w:val="24"/>
          <w:szCs w:val="21"/>
        </w:rPr>
      </w:pPr>
      <w:r>
        <w:rPr>
          <w:rFonts w:hint="eastAsia" w:ascii="仿宋" w:hAnsi="仿宋" w:eastAsia="仿宋" w:cs="仿宋"/>
          <w:color w:val="000000"/>
          <w:sz w:val="24"/>
          <w:szCs w:val="21"/>
        </w:rPr>
      </w:r>
      <w:r/>
    </w:p>
    <w:p>
      <w:pPr>
        <w:spacing w:line="0" w:lineRule="atLeast"/>
        <w:rPr>
          <w:rFonts w:hint="eastAsia" w:ascii="仿宋" w:hAnsi="仿宋" w:eastAsia="仿宋" w:cs="仿宋"/>
          <w:b/>
          <w:bCs/>
          <w:color w:val="000000"/>
        </w:rPr>
      </w:pPr>
      <w:r>
        <w:rPr>
          <w:rFonts w:hint="eastAsia" w:ascii="仿宋" w:hAnsi="仿宋" w:eastAsia="仿宋" w:cs="仿宋"/>
          <w:b/>
          <w:bCs/>
          <w:color w:val="000000"/>
        </w:rPr>
        <w:br w:type="page" w:clear="all"/>
      </w:r>
      <w:bookmarkEnd w:id="170"/>
      <w:r/>
      <w:r/>
    </w:p>
    <w:p>
      <w:pPr>
        <w:pStyle w:val="1186"/>
        <w:rPr>
          <w:rFonts w:hint="eastAsia" w:ascii="仿宋" w:hAnsi="仿宋" w:eastAsia="仿宋" w:cs="仿宋"/>
          <w:color w:val="000000"/>
        </w:rPr>
        <w:outlineLvl w:val="1"/>
      </w:pPr>
      <w:r>
        <w:rPr>
          <w:rFonts w:hint="eastAsia" w:ascii="仿宋" w:hAnsi="仿宋" w:eastAsia="仿宋" w:cs="仿宋"/>
          <w:color w:val="000000"/>
        </w:rPr>
        <w:t xml:space="preserve">八、技术标准和要求</w:t>
      </w:r>
      <w:r/>
    </w:p>
    <w:p>
      <w:pPr>
        <w:pStyle w:val="1212"/>
        <w:jc w:val="center"/>
        <w:spacing w:line="500" w:lineRule="exact"/>
        <w:rPr>
          <w:rFonts w:hint="eastAsia" w:ascii="仿宋" w:hAnsi="仿宋" w:eastAsia="仿宋" w:cs="仿宋"/>
          <w:color w:val="000000"/>
        </w:rPr>
        <w:outlineLvl w:val="1"/>
      </w:pPr>
      <w:r>
        <w:rPr>
          <w:rFonts w:hint="eastAsia" w:ascii="仿宋" w:hAnsi="仿宋" w:eastAsia="仿宋" w:cs="仿宋"/>
          <w:color w:val="000000"/>
          <w:szCs w:val="32"/>
        </w:rPr>
        <w:t xml:space="preserve">技术响应偏离表</w:t>
      </w:r>
      <w:r/>
    </w:p>
    <w:p>
      <w:pPr>
        <w:rPr>
          <w:rFonts w:hint="eastAsia" w:ascii="仿宋" w:hAnsi="仿宋" w:eastAsia="仿宋" w:cs="仿宋"/>
        </w:rPr>
      </w:pPr>
      <w:r>
        <w:rPr>
          <w:rFonts w:hint="eastAsia" w:ascii="仿宋" w:hAnsi="仿宋" w:eastAsia="仿宋" w:cs="仿宋"/>
        </w:rPr>
      </w:r>
      <w:r/>
    </w:p>
    <w:tbl>
      <w:tblPr>
        <w:tblStyle w:val="875"/>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778"/>
        <w:gridCol w:w="2564"/>
        <w:gridCol w:w="2345"/>
        <w:gridCol w:w="2305"/>
        <w:gridCol w:w="1351"/>
      </w:tblGrid>
      <w:tr>
        <w:trPr>
          <w:trHeight w:val="665"/>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jc w:val="center"/>
              <w:rPr>
                <w:rFonts w:hint="eastAsia" w:ascii="仿宋" w:hAnsi="仿宋" w:eastAsia="仿宋" w:cs="仿宋"/>
              </w:rPr>
            </w:pPr>
            <w:r>
              <w:rPr>
                <w:rFonts w:hint="eastAsia" w:ascii="仿宋" w:hAnsi="仿宋" w:eastAsia="仿宋" w:cs="仿宋"/>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2564" w:type="dxa"/>
            <w:vAlign w:val="center"/>
            <w:textDirection w:val="lrTb"/>
            <w:noWrap w:val="false"/>
          </w:tcPr>
          <w:p>
            <w:pPr>
              <w:jc w:val="center"/>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rPr>
              <w:t xml:space="preserve">采购需求的实质性要求（打“★”内容）</w:t>
            </w:r>
            <w:r/>
          </w:p>
        </w:tc>
        <w:tc>
          <w:tcPr>
            <w:tcBorders>
              <w:top w:val="single" w:color="000000" w:sz="8" w:space="0"/>
              <w:left w:val="none" w:color="000000" w:sz="4" w:space="0"/>
              <w:bottom w:val="single" w:color="000000" w:sz="8" w:space="0"/>
              <w:right w:val="single" w:color="000000" w:sz="8" w:space="0"/>
            </w:tcBorders>
            <w:tcW w:w="2345" w:type="dxa"/>
            <w:vAlign w:val="center"/>
            <w:textDirection w:val="lrTb"/>
            <w:noWrap w:val="false"/>
          </w:tcPr>
          <w:p>
            <w:pPr>
              <w:jc w:val="center"/>
              <w:widowControl/>
              <w:rPr>
                <w:rFonts w:hint="eastAsia" w:ascii="仿宋" w:hAnsi="仿宋" w:eastAsia="仿宋" w:cs="仿宋"/>
                <w:sz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rPr>
              <w:t xml:space="preserve">响应情况（填报“响应或完全响应”）</w:t>
            </w:r>
            <w:r/>
          </w:p>
        </w:tc>
        <w:tc>
          <w:tcPr>
            <w:tcBorders>
              <w:top w:val="single" w:color="000000" w:sz="8" w:space="0"/>
              <w:left w:val="none" w:color="000000" w:sz="4" w:space="0"/>
              <w:bottom w:val="single" w:color="000000" w:sz="8" w:space="0"/>
              <w:right w:val="single" w:color="000000" w:sz="8" w:space="0"/>
            </w:tcBorders>
            <w:tcW w:w="2305" w:type="dxa"/>
            <w:vAlign w:val="center"/>
            <w:textDirection w:val="lrTb"/>
            <w:noWrap w:val="false"/>
          </w:tcPr>
          <w:p>
            <w:pPr>
              <w:jc w:val="center"/>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rPr>
              <w:t xml:space="preserve">偏离（填报“正偏离、符合或负偏离”）</w:t>
            </w:r>
            <w:r/>
          </w:p>
        </w:tc>
        <w:tc>
          <w:tcPr>
            <w:tcBorders>
              <w:top w:val="single" w:color="000000" w:sz="8" w:space="0"/>
              <w:left w:val="none" w:color="000000" w:sz="4" w:space="0"/>
              <w:bottom w:val="single" w:color="000000" w:sz="8" w:space="0"/>
              <w:right w:val="single" w:color="000000" w:sz="8" w:space="0"/>
            </w:tcBorders>
            <w:tcW w:w="135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证明</w:t>
            </w:r>
            <w:r/>
          </w:p>
          <w:p>
            <w:pPr>
              <w:jc w:val="center"/>
              <w:rPr>
                <w:rFonts w:hint="eastAsia" w:ascii="仿宋" w:hAnsi="仿宋" w:eastAsia="仿宋" w:cs="仿宋"/>
                <w:sz w:val="28"/>
                <w:szCs w:val="28"/>
              </w:rPr>
            </w:pPr>
            <w:r>
              <w:rPr>
                <w:rFonts w:hint="eastAsia" w:ascii="仿宋" w:hAnsi="仿宋" w:eastAsia="仿宋" w:cs="仿宋"/>
                <w:color w:val="000000"/>
                <w:sz w:val="24"/>
                <w:szCs w:val="24"/>
              </w:rPr>
              <w:t xml:space="preserve">材料</w:t>
            </w:r>
            <w:r/>
          </w:p>
        </w:tc>
      </w:tr>
      <w:tr>
        <w:trPr>
          <w:trHeight w:val="665"/>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564"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45"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305"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r>
      <w:tr>
        <w:trPr>
          <w:trHeight w:val="665"/>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564"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45"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305"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r>
      <w:tr>
        <w:trPr>
          <w:trHeight w:val="665"/>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564"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45"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305"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r>
      <w:tr>
        <w:trPr>
          <w:trHeight w:val="665"/>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564"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45"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305"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r>
      <w:tr>
        <w:trPr>
          <w:trHeight w:val="665"/>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564"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45"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305"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r>
      <w:tr>
        <w:trPr>
          <w:trHeight w:val="665"/>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564"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45"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305"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351"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r>
    </w:tbl>
    <w:p>
      <w:pPr>
        <w:jc w:val="right"/>
        <w:spacing w:line="559" w:lineRule="atLeast"/>
        <w:rPr>
          <w:rFonts w:hint="eastAsia" w:ascii="仿宋" w:hAnsi="仿宋" w:eastAsia="仿宋" w:cs="仿宋"/>
        </w:rPr>
      </w:pPr>
      <w:r>
        <w:rPr>
          <w:rFonts w:hint="eastAsia" w:ascii="仿宋" w:hAnsi="仿宋" w:eastAsia="仿宋" w:cs="仿宋"/>
          <w:sz w:val="24"/>
        </w:rPr>
        <w:t xml:space="preserve">单位名称：</w:t>
      </w:r>
      <w:r>
        <w:rPr>
          <w:rFonts w:hint="eastAsia" w:ascii="仿宋" w:hAnsi="仿宋" w:eastAsia="仿宋" w:cs="仿宋"/>
          <w:sz w:val="24"/>
          <w:u w:val="single"/>
        </w:rPr>
        <w:t xml:space="preserve">            </w:t>
      </w:r>
      <w:r>
        <w:rPr>
          <w:rFonts w:hint="eastAsia" w:ascii="仿宋" w:hAnsi="仿宋" w:eastAsia="仿宋" w:cs="仿宋"/>
          <w:sz w:val="24"/>
        </w:rPr>
        <w:t xml:space="preserve">（盖CA电子公章）</w:t>
      </w:r>
      <w:r/>
    </w:p>
    <w:p>
      <w:pPr>
        <w:spacing w:line="588" w:lineRule="exact"/>
        <w:rPr>
          <w:rFonts w:hint="eastAsia" w:ascii="仿宋" w:hAnsi="仿宋" w:eastAsia="仿宋" w:cs="仿宋"/>
          <w:color w:val="000000"/>
          <w:sz w:val="24"/>
        </w:rPr>
      </w:pPr>
      <w:r>
        <w:rPr>
          <w:rFonts w:hint="eastAsia" w:ascii="仿宋" w:hAnsi="仿宋" w:eastAsia="仿宋" w:cs="仿宋"/>
          <w:color w:val="000000"/>
          <w:sz w:val="24"/>
        </w:rPr>
        <w:t xml:space="preserve">1.投标人必须对招标文件</w:t>
      </w:r>
      <w:r>
        <w:rPr>
          <w:rFonts w:hint="eastAsia" w:ascii="仿宋" w:hAnsi="仿宋" w:eastAsia="仿宋" w:cs="仿宋"/>
          <w:b/>
          <w:bCs/>
          <w:color w:val="000000"/>
          <w:sz w:val="24"/>
        </w:rPr>
        <w:t xml:space="preserve">采购需求</w:t>
      </w:r>
      <w:r>
        <w:rPr>
          <w:rFonts w:hint="eastAsia" w:ascii="仿宋" w:hAnsi="仿宋" w:eastAsia="仿宋" w:cs="仿宋"/>
          <w:color w:val="000000"/>
          <w:sz w:val="24"/>
        </w:rPr>
        <w:t xml:space="preserve">中的实质性要求（打“★”内容）做出明确响应，否则作无效响应处理。</w:t>
      </w:r>
      <w:r/>
    </w:p>
    <w:p>
      <w:pPr>
        <w:spacing w:line="588" w:lineRule="exact"/>
        <w:rPr>
          <w:rFonts w:hint="eastAsia" w:ascii="仿宋" w:hAnsi="仿宋" w:eastAsia="仿宋" w:cs="仿宋"/>
          <w:color w:val="000000"/>
          <w:sz w:val="24"/>
        </w:rPr>
      </w:pPr>
      <w:r>
        <w:rPr>
          <w:rFonts w:hint="eastAsia" w:ascii="仿宋" w:hAnsi="仿宋" w:eastAsia="仿宋" w:cs="仿宋"/>
          <w:color w:val="000000"/>
          <w:sz w:val="24"/>
        </w:rPr>
        <w:t xml:space="preserve">2.如果招标文件要求提供证明材料，投标人必须将证明材料列于该表之下。</w:t>
      </w:r>
      <w:r/>
    </w:p>
    <w:p>
      <w:pPr>
        <w:spacing w:line="588" w:lineRule="exact"/>
        <w:rPr>
          <w:rFonts w:hint="eastAsia" w:ascii="仿宋" w:hAnsi="仿宋" w:eastAsia="仿宋" w:cs="仿宋"/>
          <w:color w:val="000000"/>
          <w:sz w:val="24"/>
        </w:rPr>
      </w:pPr>
      <w:r>
        <w:rPr>
          <w:rFonts w:hint="eastAsia" w:ascii="仿宋" w:hAnsi="仿宋" w:eastAsia="仿宋" w:cs="仿宋"/>
          <w:color w:val="000000"/>
          <w:sz w:val="24"/>
        </w:rPr>
        <w:t xml:space="preserve">3.投标人未对实质性要求作出明确响应的，或未按采购文件要求提供证明材料的，该分包作无效响应处理。</w:t>
      </w:r>
      <w:r/>
    </w:p>
    <w:p>
      <w:pPr>
        <w:jc w:val="left"/>
        <w:spacing w:line="588" w:lineRule="exact"/>
        <w:rPr>
          <w:rFonts w:hint="eastAsia" w:ascii="仿宋" w:hAnsi="仿宋" w:eastAsia="仿宋" w:cs="仿宋"/>
          <w:color w:val="000000"/>
          <w:sz w:val="24"/>
          <w:highlight w:val="none"/>
        </w:rPr>
        <w:sectPr>
          <w:footnotePr/>
          <w:endnotePr/>
          <w:type w:val="nextPage"/>
          <w:pgSz w:w="11906" w:h="16838" w:orient="portrait"/>
          <w:pgMar w:top="1667" w:right="1474" w:bottom="1667" w:left="1418" w:header="851" w:footer="992" w:gutter="0"/>
          <w:cols w:num="1" w:sep="0" w:space="1701" w:equalWidth="1"/>
          <w:docGrid w:linePitch="360"/>
        </w:sectPr>
      </w:pPr>
      <w:r>
        <w:rPr>
          <w:rFonts w:hint="eastAsia" w:ascii="仿宋" w:hAnsi="仿宋" w:eastAsia="仿宋" w:cs="仿宋"/>
          <w:b/>
          <w:bCs/>
          <w:color w:val="000000"/>
          <w:sz w:val="24"/>
          <w:highlight w:val="none"/>
        </w:rPr>
        <w:t xml:space="preserve">4.</w:t>
      </w:r>
      <w:r>
        <w:rPr>
          <w:rFonts w:hint="eastAsia" w:ascii="仿宋" w:hAnsi="仿宋" w:eastAsia="仿宋" w:cs="仿宋"/>
          <w:color w:val="000000"/>
          <w:sz w:val="24"/>
          <w:highlight w:val="none"/>
        </w:rPr>
        <w:t xml:space="preserve">行数不够，可自行添加。</w:t>
      </w:r>
      <w:r/>
    </w:p>
    <w:p>
      <w:pPr>
        <w:pStyle w:val="1212"/>
        <w:rPr>
          <w:rFonts w:hint="eastAsia" w:ascii="仿宋" w:hAnsi="仿宋" w:eastAsia="仿宋" w:cs="仿宋"/>
          <w:color w:val="000000"/>
        </w:rPr>
        <w:outlineLvl w:val="1"/>
      </w:pPr>
      <w:r>
        <w:rPr>
          <w:rFonts w:hint="eastAsia" w:ascii="仿宋" w:hAnsi="仿宋" w:eastAsia="仿宋" w:cs="仿宋"/>
          <w:color w:val="000000"/>
        </w:rPr>
        <w:t xml:space="preserve">九、技术参数响应</w:t>
      </w:r>
      <w:r/>
    </w:p>
    <w:p>
      <w:pPr>
        <w:pStyle w:val="1212"/>
        <w:jc w:val="center"/>
        <w:rPr>
          <w:rFonts w:hint="eastAsia" w:ascii="仿宋" w:hAnsi="仿宋" w:eastAsia="仿宋" w:cs="仿宋"/>
          <w:color w:val="000000"/>
        </w:rPr>
        <w:outlineLvl w:val="1"/>
      </w:pPr>
      <w:r>
        <w:rPr>
          <w:rFonts w:hint="eastAsia" w:ascii="仿宋" w:hAnsi="仿宋" w:eastAsia="仿宋" w:cs="仿宋"/>
          <w:color w:val="000000"/>
        </w:rPr>
        <w:t xml:space="preserve">技术要求响应及偏离表</w:t>
      </w:r>
      <w:r/>
    </w:p>
    <w:p>
      <w:pPr>
        <w:pStyle w:val="1212"/>
        <w:rPr>
          <w:rFonts w:hint="eastAsia" w:ascii="仿宋" w:hAnsi="仿宋" w:eastAsia="仿宋" w:cs="仿宋"/>
          <w:b w:val="0"/>
          <w:bCs/>
          <w:color w:val="000000"/>
        </w:rPr>
        <w:outlineLvl w:val="1"/>
      </w:pPr>
      <w:r>
        <w:rPr>
          <w:rFonts w:hint="eastAsia" w:ascii="仿宋" w:hAnsi="仿宋" w:eastAsia="仿宋" w:cs="仿宋"/>
          <w:b w:val="0"/>
          <w:bCs/>
          <w:color w:val="000000"/>
        </w:rPr>
      </w:r>
      <w:r/>
    </w:p>
    <w:tbl>
      <w:tblPr>
        <w:tblStyle w:val="875"/>
        <w:tblW w:w="8484" w:type="dxa"/>
        <w:jc w:val="center"/>
        <w:tblLayout w:type="fixed"/>
        <w:tblCellMar>
          <w:left w:w="108" w:type="dxa"/>
          <w:top w:w="0" w:type="dxa"/>
          <w:right w:w="108" w:type="dxa"/>
          <w:bottom w:w="0" w:type="dxa"/>
        </w:tblCellMar>
        <w:tblLook w:val="04A0" w:firstRow="1" w:lastRow="0" w:firstColumn="1" w:lastColumn="0" w:noHBand="0" w:noVBand="1"/>
      </w:tblPr>
      <w:tblGrid>
        <w:gridCol w:w="924"/>
        <w:gridCol w:w="1669"/>
        <w:gridCol w:w="2386"/>
        <w:gridCol w:w="1994"/>
        <w:gridCol w:w="1511"/>
      </w:tblGrid>
      <w:tr>
        <w:trPr>
          <w:jc w:val="center"/>
          <w:trHeight w:val="665"/>
        </w:trPr>
        <w:tc>
          <w:tcPr>
            <w:tcBorders>
              <w:top w:val="single" w:color="000000" w:sz="8" w:space="0"/>
              <w:left w:val="single" w:color="000000" w:sz="8" w:space="0"/>
              <w:bottom w:val="single" w:color="000000" w:sz="8" w:space="0"/>
              <w:right w:val="single" w:color="000000" w:sz="8" w:space="0"/>
            </w:tcBorders>
            <w:tcW w:w="924" w:type="dxa"/>
            <w:vAlign w:val="center"/>
            <w:textDirection w:val="lrTb"/>
            <w:noWrap w:val="false"/>
          </w:tcPr>
          <w:p>
            <w:pPr>
              <w:jc w:val="center"/>
              <w:spacing w:before="100" w:line="400" w:lineRule="exact"/>
              <w:rPr>
                <w:rFonts w:hint="eastAsia" w:ascii="仿宋" w:hAnsi="仿宋" w:eastAsia="仿宋" w:cs="仿宋"/>
                <w:color w:val="000000"/>
                <w:sz w:val="28"/>
              </w:rPr>
            </w:pPr>
            <w:r>
              <w:rPr>
                <w:rFonts w:hint="eastAsia" w:ascii="仿宋" w:hAnsi="仿宋" w:eastAsia="仿宋" w:cs="仿宋"/>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jc w:val="center"/>
              <w:spacing w:before="100" w:line="400" w:lineRule="exact"/>
              <w:rPr>
                <w:rFonts w:hint="eastAsia" w:ascii="仿宋" w:hAnsi="仿宋" w:eastAsia="仿宋" w:cs="仿宋"/>
                <w:color w:val="000000"/>
                <w:sz w:val="28"/>
              </w:rPr>
            </w:pPr>
            <w:r>
              <w:rPr>
                <w:rFonts w:hint="eastAsia" w:ascii="仿宋" w:hAnsi="仿宋" w:eastAsia="仿宋" w:cs="仿宋"/>
                <w:color w:val="000000"/>
                <w:sz w:val="28"/>
              </w:rPr>
              <w:t xml:space="preserve">技术参数</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400" w:lineRule="exact"/>
              <w:rPr>
                <w:rFonts w:hint="eastAsia" w:ascii="仿宋" w:hAnsi="仿宋" w:eastAsia="仿宋" w:cs="仿宋"/>
                <w:color w:val="000000"/>
                <w:sz w:val="28"/>
              </w:rPr>
            </w:pPr>
            <w:r>
              <w:rPr>
                <w:rFonts w:hint="eastAsia" w:ascii="仿宋" w:hAnsi="仿宋" w:eastAsia="仿宋" w:cs="仿宋"/>
                <w:color w:val="000000"/>
                <w:sz w:val="28"/>
              </w:rPr>
              <w:t xml:space="preserve">响应情况（填报“响应或完全响应”）</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仿宋" w:hAnsi="仿宋" w:eastAsia="仿宋" w:cs="仿宋"/>
                <w:color w:val="000000"/>
                <w:sz w:val="28"/>
              </w:rPr>
            </w:pPr>
            <w:r>
              <w:rPr>
                <w:rFonts w:hint="eastAsia" w:ascii="仿宋" w:hAnsi="仿宋" w:eastAsia="仿宋" w:cs="仿宋"/>
                <w:color w:val="000000"/>
                <w:sz w:val="28"/>
              </w:rPr>
              <w:t xml:space="preserve">偏离情况</w:t>
            </w:r>
            <w:r/>
          </w:p>
          <w:p>
            <w:pPr>
              <w:jc w:val="center"/>
              <w:spacing w:before="100" w:line="400" w:lineRule="exact"/>
              <w:rPr>
                <w:rFonts w:hint="eastAsia" w:ascii="仿宋" w:hAnsi="仿宋" w:eastAsia="仿宋" w:cs="仿宋"/>
                <w:color w:val="000000"/>
                <w:sz w:val="28"/>
              </w:rPr>
            </w:pPr>
            <w:r>
              <w:rPr>
                <w:rFonts w:hint="eastAsia" w:ascii="仿宋" w:hAnsi="仿宋" w:eastAsia="仿宋" w:cs="仿宋"/>
                <w:color w:val="000000"/>
                <w:sz w:val="28"/>
              </w:rPr>
              <w:t xml:space="preserve">（</w:t>
            </w:r>
            <w:r>
              <w:rPr>
                <w:rFonts w:hint="eastAsia" w:ascii="仿宋" w:hAnsi="仿宋" w:eastAsia="仿宋" w:cs="仿宋"/>
                <w:b/>
                <w:color w:val="000000"/>
                <w:sz w:val="24"/>
              </w:rPr>
              <w:t xml:space="preserve">正偏离、负偏离、无偏离</w:t>
            </w:r>
            <w:r>
              <w:rPr>
                <w:rFonts w:hint="eastAsia" w:ascii="仿宋" w:hAnsi="仿宋" w:eastAsia="仿宋" w:cs="仿宋"/>
                <w:color w:val="000000"/>
                <w:sz w:val="28"/>
              </w:rPr>
              <w:t xml:space="preserve">）</w:t>
            </w:r>
            <w:r/>
          </w:p>
        </w:tc>
        <w:tc>
          <w:tcPr>
            <w:tcBorders>
              <w:top w:val="single" w:color="000000" w:sz="8" w:space="0"/>
              <w:left w:val="none" w:color="000000" w:sz="4" w:space="0"/>
              <w:bottom w:val="single" w:color="000000" w:sz="8" w:space="0"/>
              <w:right w:val="single" w:color="000000" w:sz="8" w:space="0"/>
            </w:tcBorders>
            <w:tcW w:w="1511" w:type="dxa"/>
            <w:vAlign w:val="center"/>
            <w:textDirection w:val="lrTb"/>
            <w:noWrap w:val="false"/>
          </w:tcPr>
          <w:p>
            <w:pPr>
              <w:jc w:val="center"/>
              <w:spacing w:before="100" w:line="559" w:lineRule="atLeast"/>
              <w:rPr>
                <w:rFonts w:hint="eastAsia" w:ascii="仿宋" w:hAnsi="仿宋" w:eastAsia="仿宋" w:cs="仿宋"/>
                <w:color w:val="000000"/>
                <w:sz w:val="28"/>
                <w:szCs w:val="28"/>
              </w:rPr>
            </w:pPr>
            <w:r>
              <w:rPr>
                <w:rFonts w:hint="eastAsia" w:ascii="仿宋" w:hAnsi="仿宋" w:eastAsia="仿宋" w:cs="仿宋"/>
                <w:color w:val="000000"/>
                <w:sz w:val="28"/>
              </w:rPr>
              <w:t xml:space="preserve">偏离内容及说明</w:t>
            </w:r>
            <w:r/>
          </w:p>
        </w:tc>
      </w:tr>
      <w:tr>
        <w:trPr>
          <w:jc w:val="center"/>
          <w:trHeight w:val="665"/>
        </w:trPr>
        <w:tc>
          <w:tcPr>
            <w:tcBorders>
              <w:top w:val="none" w:color="000000" w:sz="4" w:space="0"/>
              <w:left w:val="single" w:color="000000" w:sz="8" w:space="0"/>
              <w:bottom w:val="single" w:color="000000" w:sz="8" w:space="0"/>
              <w:right w:val="single" w:color="000000" w:sz="8" w:space="0"/>
            </w:tcBorders>
            <w:tcW w:w="92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151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jc w:val="center"/>
          <w:trHeight w:val="665"/>
        </w:trPr>
        <w:tc>
          <w:tcPr>
            <w:tcBorders>
              <w:top w:val="none" w:color="000000" w:sz="4" w:space="0"/>
              <w:left w:val="single" w:color="000000" w:sz="8" w:space="0"/>
              <w:bottom w:val="single" w:color="000000" w:sz="8" w:space="0"/>
              <w:right w:val="single" w:color="000000" w:sz="8" w:space="0"/>
            </w:tcBorders>
            <w:tcW w:w="92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151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jc w:val="center"/>
          <w:trHeight w:val="665"/>
        </w:trPr>
        <w:tc>
          <w:tcPr>
            <w:tcBorders>
              <w:top w:val="none" w:color="000000" w:sz="4" w:space="0"/>
              <w:left w:val="single" w:color="000000" w:sz="8" w:space="0"/>
              <w:bottom w:val="single" w:color="000000" w:sz="8" w:space="0"/>
              <w:right w:val="single" w:color="000000" w:sz="8" w:space="0"/>
            </w:tcBorders>
            <w:tcW w:w="92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151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jc w:val="center"/>
          <w:trHeight w:val="665"/>
        </w:trPr>
        <w:tc>
          <w:tcPr>
            <w:tcBorders>
              <w:top w:val="none" w:color="000000" w:sz="4" w:space="0"/>
              <w:left w:val="single" w:color="000000" w:sz="8" w:space="0"/>
              <w:bottom w:val="single" w:color="000000" w:sz="8" w:space="0"/>
              <w:right w:val="single" w:color="000000" w:sz="8" w:space="0"/>
            </w:tcBorders>
            <w:tcW w:w="92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151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jc w:val="center"/>
          <w:trHeight w:val="665"/>
        </w:trPr>
        <w:tc>
          <w:tcPr>
            <w:tcBorders>
              <w:top w:val="none" w:color="000000" w:sz="4" w:space="0"/>
              <w:left w:val="single" w:color="000000" w:sz="8" w:space="0"/>
              <w:bottom w:val="single" w:color="000000" w:sz="8" w:space="0"/>
              <w:right w:val="single" w:color="000000" w:sz="8" w:space="0"/>
            </w:tcBorders>
            <w:tcW w:w="92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151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jc w:val="center"/>
          <w:trHeight w:val="665"/>
        </w:trPr>
        <w:tc>
          <w:tcPr>
            <w:tcBorders>
              <w:top w:val="none" w:color="000000" w:sz="4" w:space="0"/>
              <w:left w:val="single" w:color="000000" w:sz="8" w:space="0"/>
              <w:bottom w:val="single" w:color="000000" w:sz="8" w:space="0"/>
              <w:right w:val="single" w:color="000000" w:sz="8" w:space="0"/>
            </w:tcBorders>
            <w:tcW w:w="92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151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jc w:val="center"/>
          <w:trHeight w:val="665"/>
        </w:trPr>
        <w:tc>
          <w:tcPr>
            <w:tcBorders>
              <w:top w:val="none" w:color="000000" w:sz="4" w:space="0"/>
              <w:left w:val="single" w:color="000000" w:sz="8" w:space="0"/>
              <w:bottom w:val="single" w:color="000000" w:sz="8" w:space="0"/>
              <w:right w:val="single" w:color="000000" w:sz="8" w:space="0"/>
            </w:tcBorders>
            <w:tcW w:w="92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151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jc w:val="center"/>
          <w:trHeight w:val="665"/>
        </w:trPr>
        <w:tc>
          <w:tcPr>
            <w:tcBorders>
              <w:top w:val="none" w:color="000000" w:sz="4" w:space="0"/>
              <w:left w:val="single" w:color="000000" w:sz="8" w:space="0"/>
              <w:bottom w:val="single" w:color="000000" w:sz="8" w:space="0"/>
              <w:right w:val="single" w:color="000000" w:sz="8" w:space="0"/>
            </w:tcBorders>
            <w:tcW w:w="92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151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bl>
    <w:p>
      <w:pPr>
        <w:jc w:val="right"/>
        <w:spacing w:line="559" w:lineRule="atLeast"/>
        <w:rPr>
          <w:rFonts w:hint="eastAsia" w:ascii="仿宋" w:hAnsi="仿宋" w:eastAsia="仿宋" w:cs="仿宋"/>
          <w:b/>
          <w:bCs/>
          <w:color w:val="000000"/>
          <w:szCs w:val="28"/>
        </w:rPr>
      </w:pPr>
      <w:r>
        <w:rPr>
          <w:rFonts w:hint="eastAsia" w:ascii="仿宋" w:hAnsi="仿宋" w:eastAsia="仿宋" w:cs="仿宋"/>
          <w:color w:val="000000"/>
          <w:sz w:val="24"/>
        </w:rPr>
        <w:t xml:space="preserve">单位名称：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（盖CA电子公章）</w:t>
      </w:r>
      <w:r/>
    </w:p>
    <w:p>
      <w:pPr>
        <w:pStyle w:val="978"/>
        <w:ind w:firstLine="482"/>
        <w:jc w:val="both"/>
        <w:spacing w:before="0" w:beforeAutospacing="0" w:after="0" w:afterAutospacing="0" w:line="400" w:lineRule="exact"/>
        <w:widowControl w:val="off"/>
        <w:rPr>
          <w:rFonts w:hint="eastAsia" w:ascii="仿宋" w:hAnsi="仿宋" w:eastAsia="仿宋" w:cs="仿宋"/>
          <w:b/>
          <w:bCs/>
          <w:color w:val="000000"/>
          <w:szCs w:val="20"/>
        </w:rPr>
      </w:pPr>
      <w:r>
        <w:rPr>
          <w:rFonts w:hint="eastAsia" w:ascii="仿宋" w:hAnsi="仿宋" w:eastAsia="仿宋" w:cs="仿宋"/>
          <w:b/>
          <w:bCs/>
          <w:color w:val="000000"/>
          <w:szCs w:val="28"/>
        </w:rPr>
        <w:t xml:space="preserve">备注：</w:t>
      </w:r>
      <w:r>
        <w:rPr>
          <w:rFonts w:hint="eastAsia" w:ascii="仿宋" w:hAnsi="仿宋" w:eastAsia="仿宋" w:cs="仿宋"/>
          <w:color w:val="000000"/>
          <w:szCs w:val="28"/>
        </w:rPr>
        <w:t xml:space="preserve">1</w:t>
      </w:r>
      <w:bookmarkStart w:id="173" w:name="_Hlk187934629"/>
      <w:r>
        <w:rPr>
          <w:rFonts w:hint="eastAsia" w:ascii="仿宋" w:hAnsi="仿宋" w:eastAsia="仿宋" w:cs="仿宋"/>
          <w:color w:val="000000"/>
          <w:szCs w:val="28"/>
        </w:rPr>
        <w:t xml:space="preserve">.</w:t>
      </w:r>
      <w:r>
        <w:rPr>
          <w:rFonts w:hint="eastAsia" w:ascii="仿宋" w:hAnsi="仿宋" w:eastAsia="仿宋" w:cs="仿宋"/>
          <w:color w:val="000000"/>
          <w:szCs w:val="20"/>
        </w:rPr>
        <w:t xml:space="preserve">针对采购需求中的实质性要求（“★”内容），投标人须做出明确响应。采购需求中要求提供证明材料的，以证明材料为准；若《技术要求响应及偏离表》填写情况与提供证明材料的内容不一致，以证明材料为准；采购需求中未要求提供证明材料的，以《技术要求响应及偏离表》为准，《技术要求响应及偏离表》中未列明的，</w:t>
      </w:r>
      <w:r>
        <w:rPr>
          <w:rFonts w:hint="eastAsia" w:ascii="仿宋" w:hAnsi="仿宋" w:eastAsia="仿宋" w:cs="仿宋"/>
          <w:b/>
          <w:bCs/>
          <w:color w:val="000000"/>
          <w:szCs w:val="20"/>
        </w:rPr>
        <w:t xml:space="preserve">作无效响应处理。</w:t>
      </w:r>
      <w:r/>
    </w:p>
    <w:p>
      <w:pPr>
        <w:pStyle w:val="978"/>
        <w:ind w:firstLine="480"/>
        <w:jc w:val="both"/>
        <w:spacing w:before="0" w:beforeAutospacing="0" w:after="0" w:afterAutospacing="0" w:line="400" w:lineRule="exact"/>
        <w:widowControl w:val="off"/>
        <w:rPr>
          <w:rFonts w:hint="eastAsia" w:ascii="仿宋" w:hAnsi="仿宋" w:eastAsia="仿宋" w:cs="仿宋"/>
          <w:color w:val="000000"/>
          <w:szCs w:val="28"/>
        </w:rPr>
      </w:pPr>
      <w:r>
        <w:rPr>
          <w:rFonts w:hint="eastAsia" w:ascii="仿宋" w:hAnsi="仿宋" w:eastAsia="仿宋" w:cs="仿宋"/>
          <w:color w:val="000000"/>
          <w:szCs w:val="28"/>
        </w:rPr>
        <w:t xml:space="preserve">2.对采购需求的其他非实质性要求，投标人按所投产品情况</w:t>
      </w:r>
      <w:r>
        <w:rPr>
          <w:rFonts w:hint="eastAsia" w:ascii="仿宋" w:hAnsi="仿宋" w:eastAsia="仿宋" w:cs="仿宋"/>
          <w:color w:val="000000"/>
          <w:szCs w:val="28"/>
          <w:highlight w:val="none"/>
        </w:rPr>
        <w:t xml:space="preserve">在此表中逐项列</w:t>
      </w:r>
      <w:r>
        <w:rPr>
          <w:rFonts w:hint="eastAsia" w:ascii="仿宋" w:hAnsi="仿宋" w:eastAsia="仿宋" w:cs="仿宋"/>
          <w:color w:val="000000"/>
          <w:szCs w:val="28"/>
        </w:rPr>
        <w:t xml:space="preserve">出偏离情况（包括正偏离、负偏离、无偏离）并说明理由；未列明的均视为未响应招标文件要求。</w:t>
      </w:r>
      <w:r/>
    </w:p>
    <w:p>
      <w:pPr>
        <w:pStyle w:val="978"/>
        <w:ind w:firstLine="480"/>
        <w:jc w:val="both"/>
        <w:spacing w:before="0" w:beforeAutospacing="0" w:after="0" w:afterAutospacing="0" w:line="400" w:lineRule="exact"/>
        <w:widowControl w:val="off"/>
        <w:rPr>
          <w:rFonts w:hint="eastAsia" w:ascii="仿宋" w:hAnsi="仿宋" w:eastAsia="仿宋" w:cs="仿宋"/>
          <w:color w:val="000000"/>
          <w:szCs w:val="28"/>
        </w:rPr>
      </w:pPr>
      <w:r>
        <w:rPr>
          <w:rFonts w:hint="eastAsia" w:ascii="仿宋" w:hAnsi="仿宋" w:eastAsia="仿宋" w:cs="仿宋"/>
          <w:color w:val="000000"/>
          <w:szCs w:val="28"/>
        </w:rPr>
        <w:t xml:space="preserve">3.行数不够，可自行添加，投标产品技术指标佐证材料附后。</w:t>
      </w:r>
      <w:bookmarkEnd w:id="173"/>
      <w:r/>
      <w:r/>
    </w:p>
    <w:p>
      <w:pPr>
        <w:rPr>
          <w:rFonts w:hint="eastAsia" w:ascii="仿宋" w:hAnsi="仿宋" w:eastAsia="仿宋" w:cs="仿宋"/>
          <w:bCs/>
          <w:color w:val="000000"/>
        </w:rPr>
      </w:pPr>
      <w:r/>
      <w:bookmarkStart w:id="174" w:name="_Toc15871"/>
      <w:r/>
      <w:bookmarkStart w:id="175" w:name="_Toc25337"/>
      <w:r>
        <w:rPr>
          <w:rFonts w:hint="eastAsia" w:ascii="仿宋" w:hAnsi="仿宋" w:eastAsia="仿宋" w:cs="仿宋"/>
          <w:bCs/>
          <w:color w:val="000000"/>
        </w:rPr>
        <w:br w:type="page" w:clear="all"/>
      </w:r>
      <w:bookmarkEnd w:id="174"/>
      <w:r/>
      <w:bookmarkEnd w:id="175"/>
      <w:r/>
      <w:r/>
    </w:p>
    <w:p>
      <w:pPr>
        <w:pStyle w:val="1212"/>
        <w:ind w:left="210"/>
        <w:rPr>
          <w:rFonts w:hint="eastAsia" w:ascii="仿宋" w:hAnsi="仿宋" w:eastAsia="仿宋" w:cs="仿宋"/>
          <w:bCs/>
          <w:color w:val="000000"/>
          <w:szCs w:val="32"/>
        </w:rPr>
        <w:outlineLvl w:val="1"/>
      </w:pPr>
      <w:r>
        <w:rPr>
          <w:rFonts w:hint="eastAsia" w:ascii="仿宋" w:hAnsi="仿宋" w:eastAsia="仿宋" w:cs="仿宋"/>
          <w:bCs/>
          <w:color w:val="000000"/>
          <w:szCs w:val="32"/>
        </w:rPr>
        <w:t xml:space="preserve">十、项目实施方案</w:t>
      </w:r>
      <w:r/>
    </w:p>
    <w:p>
      <w:pPr>
        <w:pStyle w:val="1220"/>
        <w:ind w:firstLine="602"/>
        <w:jc w:val="left"/>
        <w:spacing w:line="360" w:lineRule="auto"/>
        <w:rPr>
          <w:rFonts w:hint="eastAsia" w:ascii="仿宋" w:hAnsi="仿宋" w:eastAsia="仿宋" w:cs="仿宋"/>
          <w:b/>
          <w:bCs/>
          <w:color w:val="000000"/>
          <w:sz w:val="30"/>
          <w:szCs w:val="30"/>
        </w:rPr>
      </w:pPr>
      <w:r/>
      <w:bookmarkStart w:id="176" w:name="_Hlk187935031"/>
      <w:r>
        <w:rPr>
          <w:rFonts w:hint="eastAsia" w:ascii="仿宋" w:hAnsi="仿宋" w:eastAsia="仿宋" w:cs="仿宋"/>
          <w:b/>
          <w:bCs/>
          <w:color w:val="000000"/>
          <w:sz w:val="30"/>
          <w:szCs w:val="30"/>
        </w:rPr>
        <w:t xml:space="preserve">投标人须根据本项目的采购需求及评分标准的要求编制项目实施方案，格式自拟</w:t>
      </w:r>
      <w:bookmarkEnd w:id="176"/>
      <w:r/>
      <w:r/>
    </w:p>
    <w:p>
      <w:pPr>
        <w:spacing w:line="480" w:lineRule="exact"/>
        <w:rPr>
          <w:rFonts w:hint="eastAsia" w:ascii="仿宋" w:hAnsi="仿宋" w:eastAsia="仿宋" w:cs="仿宋"/>
          <w:bCs/>
          <w:color w:val="000000"/>
        </w:rPr>
        <w:sectPr>
          <w:footnotePr/>
          <w:endnotePr/>
          <w:type w:val="nextPage"/>
          <w:pgSz w:w="11906" w:h="16838" w:orient="portrait"/>
          <w:pgMar w:top="1667" w:right="1474" w:bottom="1667" w:left="1418" w:header="851" w:footer="992" w:gutter="0"/>
          <w:cols w:num="1" w:sep="0" w:space="1701" w:equalWidth="1"/>
          <w:docGrid w:linePitch="360"/>
        </w:sectPr>
        <w:outlineLvl w:val="1"/>
      </w:pPr>
      <w:r>
        <w:rPr>
          <w:rFonts w:hint="eastAsia" w:ascii="仿宋" w:hAnsi="仿宋" w:eastAsia="仿宋" w:cs="仿宋"/>
          <w:bCs/>
          <w:color w:val="000000"/>
        </w:rPr>
        <w:br w:type="page" w:clear="all"/>
      </w:r>
      <w:bookmarkStart w:id="177" w:name="_Toc9275"/>
      <w:r/>
      <w:bookmarkStart w:id="178" w:name="_Toc26048"/>
      <w:r/>
      <w:r/>
    </w:p>
    <w:p>
      <w:pPr>
        <w:pStyle w:val="1212"/>
        <w:rPr>
          <w:rFonts w:hint="eastAsia" w:ascii="仿宋" w:hAnsi="仿宋" w:eastAsia="仿宋" w:cs="仿宋"/>
          <w:color w:val="000000"/>
        </w:rPr>
        <w:outlineLvl w:val="1"/>
      </w:pPr>
      <w:r/>
      <w:bookmarkStart w:id="179" w:name="_Toc21129"/>
      <w:r/>
      <w:bookmarkStart w:id="180" w:name="_Toc2747"/>
      <w:r>
        <w:rPr>
          <w:rFonts w:hint="eastAsia" w:ascii="仿宋" w:hAnsi="仿宋" w:eastAsia="仿宋" w:cs="仿宋"/>
          <w:color w:val="000000"/>
        </w:rPr>
        <w:t xml:space="preserve">十一、企业业绩</w:t>
      </w:r>
      <w:r/>
    </w:p>
    <w:p>
      <w:pPr>
        <w:ind w:firstLine="643"/>
        <w:jc w:val="center"/>
        <w:spacing w:before="100" w:beforeAutospacing="1" w:after="100" w:afterAutospacing="1" w:line="276" w:lineRule="auto"/>
        <w:widowControl/>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类似项目业绩一览表</w:t>
      </w:r>
      <w:r/>
    </w:p>
    <w:p>
      <w:pPr>
        <w:pStyle w:val="1184"/>
        <w:spacing w:line="360" w:lineRule="auto"/>
        <w:rPr>
          <w:rFonts w:hint="eastAsia" w:ascii="仿宋" w:hAnsi="仿宋" w:eastAsia="仿宋" w:cs="仿宋"/>
          <w:color w:val="000000"/>
        </w:rPr>
      </w:pPr>
      <w:r>
        <w:rPr>
          <w:rFonts w:hint="eastAsia" w:ascii="仿宋" w:hAnsi="仿宋" w:eastAsia="仿宋" w:cs="仿宋"/>
          <w:color w:val="000000"/>
        </w:rPr>
        <w:t xml:space="preserve">投标人全称（CA公章）：</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采购项目名称：</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24"/>
          <w:szCs w:val="24"/>
        </w:rPr>
        <w:t xml:space="preserve">采购项目编号： </w:t>
      </w:r>
      <w:r/>
    </w:p>
    <w:tbl>
      <w:tblPr>
        <w:tblStyle w:val="875"/>
        <w:tblW w:w="9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80"/>
        <w:gridCol w:w="1359"/>
        <w:gridCol w:w="1701"/>
        <w:gridCol w:w="1984"/>
        <w:gridCol w:w="1559"/>
        <w:gridCol w:w="1395"/>
      </w:tblGrid>
      <w:tr>
        <w:trPr>
          <w:jc w:val="center"/>
          <w:trHeight w:val="567"/>
        </w:trPr>
        <w:tc>
          <w:tcPr>
            <w:tcW w:w="1080"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1359"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签订日期</w:t>
            </w:r>
            <w:r/>
          </w:p>
        </w:tc>
        <w:tc>
          <w:tcPr>
            <w:tcW w:w="1701"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设备名称</w:t>
            </w:r>
            <w:r/>
          </w:p>
        </w:tc>
        <w:tc>
          <w:tcPr>
            <w:tcW w:w="1984"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品牌型号</w:t>
            </w:r>
            <w:r/>
          </w:p>
        </w:tc>
        <w:tc>
          <w:tcPr>
            <w:tcW w:w="1559"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采购单位</w:t>
            </w:r>
            <w:r/>
          </w:p>
        </w:tc>
        <w:tc>
          <w:tcPr>
            <w:tcW w:w="1395"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合同金额</w:t>
            </w:r>
            <w:r/>
          </w:p>
        </w:tc>
      </w:tr>
      <w:tr>
        <w:trPr>
          <w:jc w:val="center"/>
          <w:trHeight w:val="567"/>
        </w:trPr>
        <w:tc>
          <w:tcPr>
            <w:tcW w:w="1080" w:type="dxa"/>
            <w:textDirection w:val="lrTb"/>
            <w:noWrap w:val="false"/>
          </w:tcPr>
          <w:p>
            <w:pPr>
              <w:jc w:val="center"/>
              <w:spacing w:line="360"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359" w:type="dxa"/>
            <w:textDirection w:val="lrTb"/>
            <w:noWrap w:val="false"/>
          </w:tcPr>
          <w:p>
            <w:pPr>
              <w:jc w:val="center"/>
              <w:spacing w:line="360"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701" w:type="dxa"/>
            <w:vAlign w:val="center"/>
            <w:textDirection w:val="lrTb"/>
            <w:noWrap w:val="false"/>
          </w:tcPr>
          <w:p>
            <w:pPr>
              <w:jc w:val="center"/>
              <w:spacing w:line="360"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984" w:type="dxa"/>
            <w:textDirection w:val="lrTb"/>
            <w:noWrap w:val="false"/>
          </w:tcPr>
          <w:p>
            <w:pPr>
              <w:jc w:val="center"/>
              <w:spacing w:line="360"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559" w:type="dxa"/>
            <w:vAlign w:val="center"/>
            <w:textDirection w:val="lrTb"/>
            <w:noWrap w:val="false"/>
          </w:tcPr>
          <w:p>
            <w:pPr>
              <w:jc w:val="center"/>
              <w:spacing w:line="360"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395" w:type="dxa"/>
            <w:vAlign w:val="center"/>
            <w:textDirection w:val="lrTb"/>
            <w:noWrap w:val="false"/>
          </w:tcPr>
          <w:p>
            <w:pPr>
              <w:jc w:val="center"/>
              <w:spacing w:line="360"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r>
      <w:tr>
        <w:trPr>
          <w:jc w:val="center"/>
          <w:trHeight w:val="567"/>
        </w:trPr>
        <w:tc>
          <w:tcPr>
            <w:tcW w:w="1080" w:type="dxa"/>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359" w:type="dxa"/>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701" w:type="dxa"/>
            <w:vAlign w:val="center"/>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984" w:type="dxa"/>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559" w:type="dxa"/>
            <w:vAlign w:val="center"/>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395" w:type="dxa"/>
            <w:vAlign w:val="center"/>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r>
      <w:tr>
        <w:trPr>
          <w:jc w:val="center"/>
          <w:trHeight w:val="567"/>
        </w:trPr>
        <w:tc>
          <w:tcPr>
            <w:tcW w:w="1080" w:type="dxa"/>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359" w:type="dxa"/>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701" w:type="dxa"/>
            <w:vAlign w:val="center"/>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984" w:type="dxa"/>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559" w:type="dxa"/>
            <w:vAlign w:val="center"/>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395" w:type="dxa"/>
            <w:vAlign w:val="center"/>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r>
      <w:tr>
        <w:trPr>
          <w:jc w:val="center"/>
          <w:trHeight w:val="567"/>
        </w:trPr>
        <w:tc>
          <w:tcPr>
            <w:tcW w:w="1080" w:type="dxa"/>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359" w:type="dxa"/>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701" w:type="dxa"/>
            <w:vAlign w:val="center"/>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984" w:type="dxa"/>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559" w:type="dxa"/>
            <w:vAlign w:val="center"/>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c>
          <w:tcPr>
            <w:tcW w:w="1395" w:type="dxa"/>
            <w:vAlign w:val="center"/>
            <w:textDirection w:val="lrTb"/>
            <w:noWrap w:val="false"/>
          </w:tcPr>
          <w:p>
            <w:pPr>
              <w:jc w:val="center"/>
              <w:spacing w:line="276" w:lineRule="auto"/>
              <w:rPr>
                <w:rFonts w:hint="eastAsia" w:ascii="仿宋" w:hAnsi="仿宋" w:eastAsia="仿宋" w:cs="仿宋"/>
                <w:color w:val="000000"/>
                <w:sz w:val="28"/>
                <w:szCs w:val="24"/>
              </w:rPr>
            </w:pPr>
            <w:r>
              <w:rPr>
                <w:rFonts w:hint="eastAsia" w:ascii="仿宋" w:hAnsi="仿宋" w:eastAsia="仿宋" w:cs="仿宋"/>
                <w:color w:val="000000"/>
                <w:sz w:val="28"/>
                <w:szCs w:val="24"/>
              </w:rPr>
            </w:r>
            <w:r/>
          </w:p>
        </w:tc>
      </w:tr>
    </w:tbl>
    <w:p>
      <w:pPr>
        <w:spacing w:line="276" w:lineRule="auto"/>
        <w:rPr>
          <w:rFonts w:hint="eastAsia" w:ascii="仿宋" w:hAnsi="仿宋" w:eastAsia="仿宋" w:cs="仿宋"/>
          <w:color w:val="000000"/>
        </w:rPr>
      </w:pPr>
      <w:r>
        <w:rPr>
          <w:rFonts w:hint="eastAsia" w:ascii="仿宋" w:hAnsi="仿宋" w:eastAsia="仿宋" w:cs="仿宋"/>
          <w:b/>
          <w:color w:val="000000"/>
          <w:sz w:val="24"/>
        </w:rPr>
        <w:t xml:space="preserve">注：请填写此表，并按要求上传业绩资料电子件。</w:t>
      </w:r>
      <w:r/>
    </w:p>
    <w:p>
      <w:pPr>
        <w:spacing w:line="276" w:lineRule="auto"/>
        <w:rPr>
          <w:rFonts w:hint="eastAsia" w:ascii="仿宋" w:hAnsi="仿宋" w:eastAsia="仿宋" w:cs="仿宋"/>
          <w:b/>
          <w:color w:val="000000"/>
          <w:sz w:val="28"/>
          <w:szCs w:val="24"/>
        </w:rPr>
        <w:sectPr>
          <w:footnotePr/>
          <w:endnotePr/>
          <w:type w:val="nextPage"/>
          <w:pgSz w:w="11906" w:h="16838" w:orient="portrait"/>
          <w:pgMar w:top="1667" w:right="1474" w:bottom="1667" w:left="1418" w:header="851" w:footer="992" w:gutter="0"/>
          <w:cols w:num="1" w:sep="0" w:space="1701" w:equalWidth="1"/>
          <w:docGrid w:linePitch="360"/>
        </w:sectPr>
      </w:pPr>
      <w:r>
        <w:rPr>
          <w:rFonts w:hint="eastAsia" w:ascii="仿宋" w:hAnsi="仿宋" w:eastAsia="仿宋" w:cs="仿宋"/>
          <w:b/>
          <w:color w:val="000000"/>
          <w:sz w:val="28"/>
          <w:szCs w:val="24"/>
        </w:rPr>
      </w:r>
      <w:r/>
    </w:p>
    <w:p>
      <w:pPr>
        <w:pStyle w:val="1212"/>
        <w:rPr>
          <w:rFonts w:hint="eastAsia" w:ascii="仿宋" w:hAnsi="仿宋" w:eastAsia="仿宋" w:cs="仿宋"/>
          <w:color w:val="000000"/>
        </w:rPr>
        <w:outlineLvl w:val="1"/>
      </w:pPr>
      <w:r>
        <w:rPr>
          <w:rFonts w:hint="eastAsia" w:ascii="仿宋" w:hAnsi="仿宋" w:eastAsia="仿宋" w:cs="仿宋"/>
          <w:color w:val="000000"/>
        </w:rPr>
        <w:t xml:space="preserve">十二、中小企业或残疾人福利性单位声明函</w:t>
      </w:r>
      <w:bookmarkEnd w:id="179"/>
      <w:r/>
      <w:bookmarkEnd w:id="180"/>
      <w:r/>
      <w:r/>
    </w:p>
    <w:p>
      <w:pPr>
        <w:pStyle w:val="1178"/>
        <w:jc w:val="center"/>
        <w:spacing w:before="361" w:line="360" w:lineRule="auto"/>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中小微企业声明函</w:t>
      </w:r>
      <w:r/>
    </w:p>
    <w:p>
      <w:pPr>
        <w:pStyle w:val="1178"/>
        <w:jc w:val="center"/>
        <w:spacing w:line="360" w:lineRule="auto"/>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（货物类项目）</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u w:val="single"/>
        </w:rPr>
        <w:t xml:space="preserve">     （采购单位名称）</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rPr>
        <w:t xml:space="preserve">（项目名称）</w:t>
      </w:r>
      <w:r>
        <w:rPr>
          <w:rFonts w:hint="eastAsia" w:ascii="仿宋" w:hAnsi="仿宋" w:eastAsia="仿宋" w:cs="仿宋"/>
          <w:color w:val="000000"/>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（项目名称）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（工业（制造业））</w:t>
      </w:r>
      <w:r>
        <w:rPr>
          <w:rFonts w:hint="eastAsia" w:ascii="仿宋" w:hAnsi="仿宋" w:eastAsia="仿宋" w:cs="仿宋"/>
          <w:color w:val="000000"/>
          <w:sz w:val="24"/>
          <w:szCs w:val="24"/>
        </w:rPr>
        <w:t xml:space="preserve">行业；投标产品制造商为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p>
    <w:p>
      <w:pPr>
        <w:ind w:firstLine="480"/>
        <w:spacing w:line="48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rPr>
        <w:t xml:space="preserve">（项目名称）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（工业（制造业））</w:t>
      </w:r>
      <w:r>
        <w:rPr>
          <w:rFonts w:hint="eastAsia" w:ascii="仿宋" w:hAnsi="仿宋" w:eastAsia="仿宋" w:cs="仿宋"/>
          <w:color w:val="000000"/>
          <w:sz w:val="24"/>
          <w:szCs w:val="24"/>
        </w:rPr>
        <w:t xml:space="preserve">行业；投标产品制造商为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p>
    <w:p>
      <w:pPr>
        <w:ind w:right="72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right="180" w:firstLine="360"/>
        <w:jc w:val="righ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ind w:right="180" w:firstLine="360"/>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日  期：</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4"/>
        <w:ind w:firstLine="480"/>
        <w:jc w:val="left"/>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备注：以上企业，不属于大企业的分支机构，不存在控股股东为大企业的情形，也不存在与大企业的负责人为同一人的情形。</w:t>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400" w:lineRule="exact"/>
        <w:rPr>
          <w:rFonts w:hint="eastAsia" w:ascii="仿宋" w:hAnsi="仿宋" w:eastAsia="仿宋" w:cs="仿宋"/>
          <w:b/>
          <w:bCs/>
          <w:color w:val="000000"/>
          <w:sz w:val="32"/>
          <w:szCs w:val="32"/>
        </w:rPr>
      </w:pPr>
      <w:r>
        <w:rPr>
          <w:rFonts w:hint="eastAsia" w:ascii="仿宋" w:hAnsi="仿宋" w:eastAsia="仿宋" w:cs="仿宋"/>
          <w:color w:val="000000"/>
          <w:sz w:val="24"/>
          <w:szCs w:val="24"/>
        </w:rPr>
        <w:br w:type="page" w:clear="all"/>
      </w:r>
      <w:r/>
    </w:p>
    <w:p>
      <w:pPr>
        <w:pStyle w:val="1178"/>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残疾人福利性单位声明函</w:t>
      </w:r>
      <w:r/>
    </w:p>
    <w:p>
      <w:pPr>
        <w:pStyle w:val="1196"/>
        <w:spacing w:line="588" w:lineRule="exact"/>
        <w:rPr>
          <w:rFonts w:hint="eastAsia" w:ascii="仿宋" w:hAnsi="仿宋" w:eastAsia="仿宋" w:cs="仿宋"/>
          <w:b/>
          <w:color w:val="000000"/>
          <w:spacing w:val="6"/>
          <w:sz w:val="30"/>
          <w:szCs w:val="30"/>
        </w:rPr>
      </w:pPr>
      <w:r>
        <w:rPr>
          <w:rFonts w:hint="eastAsia" w:ascii="仿宋" w:hAnsi="仿宋" w:eastAsia="仿宋" w:cs="仿宋"/>
          <w:b/>
          <w:color w:val="000000"/>
          <w:spacing w:val="6"/>
          <w:sz w:val="30"/>
          <w:szCs w:val="30"/>
        </w:rPr>
      </w:r>
      <w:r/>
    </w:p>
    <w:p>
      <w:pPr>
        <w:pStyle w:val="1195"/>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u w:val="single"/>
        </w:rPr>
        <w:t xml:space="preserve">（</w:t>
      </w:r>
      <w:r>
        <w:rPr>
          <w:rFonts w:hint="eastAsia" w:ascii="仿宋" w:hAnsi="仿宋" w:eastAsia="仿宋" w:cs="仿宋"/>
          <w:color w:val="000000"/>
          <w:sz w:val="24"/>
          <w:szCs w:val="24"/>
          <w:u w:val="single"/>
        </w:rPr>
        <w:t xml:space="preserve">单位名称）</w:t>
      </w:r>
      <w:r>
        <w:rPr>
          <w:rFonts w:hint="eastAsia" w:ascii="仿宋" w:hAnsi="仿宋" w:eastAsia="仿宋" w:cs="仿宋"/>
          <w:color w:val="000000"/>
          <w:sz w:val="24"/>
        </w:rPr>
        <w:t xml:space="preserve">的</w:t>
      </w:r>
      <w:r>
        <w:rPr>
          <w:rFonts w:hint="eastAsia" w:ascii="仿宋" w:hAnsi="仿宋" w:eastAsia="仿宋" w:cs="仿宋"/>
          <w:color w:val="000000"/>
          <w:sz w:val="24"/>
          <w:u w:val="single"/>
        </w:rPr>
        <w:t xml:space="preserve">（项目名称） </w:t>
      </w:r>
      <w:r>
        <w:rPr>
          <w:rFonts w:hint="eastAsia" w:ascii="仿宋" w:hAnsi="仿宋" w:eastAsia="仿宋" w:cs="仿宋"/>
          <w:color w:val="000000"/>
          <w:sz w:val="24"/>
        </w:rPr>
        <w:t xml:space="preserve">采购活动提供本单位制造的货物（由本单位承担工程/提供服务），或者提供其他残疾人福利性单位制造的货物（不包括使用非残疾人福利性单位注册商标的货物）。</w:t>
      </w:r>
      <w:r/>
    </w:p>
    <w:p>
      <w:pPr>
        <w:pStyle w:val="1195"/>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p>
    <w:p>
      <w:pPr>
        <w:pStyle w:val="1197"/>
        <w:ind w:firstLine="3810"/>
        <w:spacing w:line="50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r>
      <w:r/>
    </w:p>
    <w:p>
      <w:pPr>
        <w:pStyle w:val="1197"/>
        <w:ind w:firstLine="3629"/>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97"/>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单位名称：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szCs w:val="24"/>
        </w:rPr>
        <w:t xml:space="preserve">盖CA电子公章</w:t>
      </w:r>
      <w:r>
        <w:rPr>
          <w:rFonts w:hint="eastAsia" w:ascii="仿宋" w:hAnsi="仿宋" w:eastAsia="仿宋" w:cs="仿宋"/>
          <w:color w:val="000000"/>
          <w:sz w:val="24"/>
        </w:rPr>
        <w:t xml:space="preserve">）</w:t>
      </w:r>
      <w:r/>
    </w:p>
    <w:p>
      <w:pPr>
        <w:pStyle w:val="1194"/>
        <w:ind w:firstLine="480"/>
        <w:jc w:val="left"/>
        <w:spacing w:line="500" w:lineRule="exact"/>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日期：  年  月  日</w:t>
      </w:r>
      <w:r/>
    </w:p>
    <w:p>
      <w:pPr>
        <w:pStyle w:val="1196"/>
        <w:ind w:right="1560" w:firstLine="480"/>
        <w:jc w:val="center"/>
        <w:spacing w:line="588" w:lineRule="exact"/>
        <w:tabs>
          <w:tab w:val="left" w:pos="48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8"/>
        <w:ind w:left="357" w:firstLine="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5"/>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备注：1.非残疾人福利性单位不需提供此函。</w:t>
      </w:r>
      <w:r/>
    </w:p>
    <w:p>
      <w:pPr>
        <w:pStyle w:val="1195"/>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5"/>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5"/>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5"/>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5"/>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5"/>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5"/>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5"/>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5"/>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5"/>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5"/>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5"/>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480" w:lineRule="exact"/>
        <w:rPr>
          <w:rFonts w:hint="eastAsia" w:ascii="仿宋" w:hAnsi="仿宋" w:eastAsia="仿宋" w:cs="仿宋"/>
          <w:b/>
          <w:bCs/>
          <w:color w:val="000000"/>
          <w:szCs w:val="32"/>
        </w:rPr>
        <w:outlineLvl w:val="1"/>
      </w:pPr>
      <w:r>
        <w:rPr>
          <w:rFonts w:hint="eastAsia" w:ascii="仿宋" w:hAnsi="仿宋" w:eastAsia="仿宋" w:cs="仿宋"/>
          <w:b/>
          <w:bCs/>
          <w:color w:val="000000"/>
          <w:sz w:val="32"/>
          <w:szCs w:val="32"/>
        </w:rPr>
        <w:t xml:space="preserve">十三、投标所需其他材料</w:t>
      </w:r>
      <w:bookmarkEnd w:id="177"/>
      <w:r/>
      <w:bookmarkEnd w:id="178"/>
      <w:r/>
      <w:r/>
    </w:p>
    <w:p>
      <w:pPr>
        <w:pStyle w:val="1224"/>
        <w:ind w:firstLine="42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请在此文档中增加投标所需其他相关内容（包括评分办法、采购需求中涉及的证件证明及其它投标人认为有必要提供的资料），如没有请将此空文档上传。</w:t>
      </w:r>
      <w:r/>
    </w:p>
    <w:p>
      <w:pPr>
        <w:pStyle w:val="1224"/>
        <w:ind w:firstLine="42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如：</w:t>
      </w:r>
      <w:r/>
    </w:p>
    <w:p>
      <w:pPr>
        <w:ind w:firstLine="42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1.投标产品制造商或投标产品的认证证书</w:t>
      </w:r>
      <w:r/>
    </w:p>
    <w:p>
      <w:pPr>
        <w:ind w:firstLine="42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2.评分标准中涉及的材料</w:t>
      </w:r>
      <w:r/>
    </w:p>
    <w:p>
      <w:pPr>
        <w:ind w:firstLine="42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3.投标人认为需要提供的其他资料</w:t>
      </w:r>
      <w:r/>
    </w:p>
    <w:p>
      <w:pPr>
        <w:pStyle w:val="1224"/>
        <w:ind w:firstLine="420"/>
        <w:spacing w:line="480" w:lineRule="exact"/>
        <w:rPr>
          <w:color w:val="000000"/>
          <w:sz w:val="24"/>
          <w:szCs w:val="24"/>
        </w:rPr>
      </w:pPr>
      <w:r>
        <w:rPr>
          <w:color w:val="000000"/>
          <w:sz w:val="24"/>
          <w:szCs w:val="24"/>
        </w:rPr>
      </w:r>
      <w:r/>
    </w:p>
    <w:p>
      <w:pPr>
        <w:pStyle w:val="1224"/>
        <w:ind w:firstLine="420"/>
        <w:spacing w:line="480" w:lineRule="exact"/>
        <w:rPr>
          <w:color w:val="000000"/>
          <w:sz w:val="24"/>
          <w:szCs w:val="24"/>
        </w:rPr>
      </w:pPr>
      <w:r>
        <w:rPr>
          <w:color w:val="000000"/>
          <w:sz w:val="24"/>
          <w:szCs w:val="24"/>
        </w:rPr>
      </w:r>
      <w:r/>
    </w:p>
    <w:p>
      <w:pPr>
        <w:pStyle w:val="1224"/>
        <w:ind w:firstLine="420"/>
        <w:spacing w:line="480" w:lineRule="exact"/>
        <w:rPr>
          <w:color w:val="000000"/>
          <w:sz w:val="24"/>
          <w:szCs w:val="24"/>
        </w:rPr>
      </w:pPr>
      <w:r>
        <w:rPr>
          <w:color w:val="000000"/>
          <w:sz w:val="24"/>
          <w:szCs w:val="24"/>
        </w:rPr>
      </w:r>
      <w:r/>
    </w:p>
    <w:p>
      <w:pPr>
        <w:pStyle w:val="1224"/>
        <w:ind w:firstLine="420"/>
        <w:spacing w:line="480" w:lineRule="exact"/>
        <w:rPr>
          <w:color w:val="000000"/>
          <w:sz w:val="24"/>
          <w:szCs w:val="24"/>
        </w:rPr>
      </w:pPr>
      <w:r>
        <w:rPr>
          <w:color w:val="000000"/>
          <w:sz w:val="24"/>
          <w:szCs w:val="24"/>
        </w:rPr>
      </w:r>
      <w:r/>
    </w:p>
    <w:p>
      <w:pPr>
        <w:pStyle w:val="1224"/>
        <w:ind w:firstLine="420"/>
        <w:spacing w:line="480" w:lineRule="exact"/>
        <w:rPr>
          <w:color w:val="000000"/>
          <w:sz w:val="24"/>
          <w:szCs w:val="24"/>
        </w:rPr>
      </w:pPr>
      <w:r>
        <w:rPr>
          <w:color w:val="000000"/>
          <w:sz w:val="24"/>
          <w:szCs w:val="24"/>
        </w:rPr>
      </w:r>
      <w:r/>
    </w:p>
    <w:p>
      <w:pPr>
        <w:pStyle w:val="1224"/>
        <w:ind w:firstLine="420"/>
        <w:spacing w:line="480" w:lineRule="exact"/>
        <w:rPr>
          <w:color w:val="000000"/>
          <w:sz w:val="24"/>
          <w:szCs w:val="24"/>
        </w:rPr>
      </w:pPr>
      <w:r>
        <w:rPr>
          <w:color w:val="000000"/>
          <w:sz w:val="24"/>
          <w:szCs w:val="24"/>
        </w:rPr>
      </w:r>
      <w:r/>
    </w:p>
    <w:p>
      <w:pPr>
        <w:pStyle w:val="1224"/>
        <w:ind w:firstLine="420"/>
        <w:spacing w:line="480" w:lineRule="exact"/>
        <w:rPr>
          <w:color w:val="000000"/>
          <w:sz w:val="24"/>
          <w:szCs w:val="24"/>
        </w:rPr>
      </w:pPr>
      <w:r>
        <w:rPr>
          <w:color w:val="000000"/>
          <w:sz w:val="24"/>
          <w:szCs w:val="24"/>
        </w:rPr>
      </w:r>
      <w:r/>
    </w:p>
    <w:p>
      <w:pPr>
        <w:pStyle w:val="1224"/>
        <w:ind w:firstLine="420"/>
        <w:spacing w:line="480" w:lineRule="exact"/>
        <w:rPr>
          <w:color w:val="000000"/>
          <w:sz w:val="24"/>
          <w:szCs w:val="24"/>
        </w:rPr>
      </w:pPr>
      <w:r>
        <w:rPr>
          <w:color w:val="000000"/>
          <w:sz w:val="24"/>
          <w:szCs w:val="24"/>
        </w:rPr>
      </w:r>
      <w:r/>
    </w:p>
    <w:p>
      <w:pPr>
        <w:pStyle w:val="1224"/>
        <w:ind w:firstLine="420"/>
        <w:spacing w:line="480" w:lineRule="exact"/>
        <w:rPr>
          <w:color w:val="000000"/>
          <w:sz w:val="24"/>
          <w:szCs w:val="24"/>
        </w:rPr>
      </w:pPr>
      <w:r>
        <w:rPr>
          <w:color w:val="000000"/>
          <w:sz w:val="24"/>
          <w:szCs w:val="24"/>
        </w:rPr>
      </w:r>
      <w:r/>
    </w:p>
    <w:p>
      <w:pPr>
        <w:pStyle w:val="1224"/>
        <w:ind w:firstLine="420"/>
        <w:spacing w:line="480" w:lineRule="exact"/>
        <w:rPr>
          <w:color w:val="000000"/>
          <w:sz w:val="24"/>
          <w:szCs w:val="24"/>
        </w:rPr>
      </w:pPr>
      <w:r>
        <w:rPr>
          <w:color w:val="000000"/>
          <w:sz w:val="24"/>
          <w:szCs w:val="24"/>
        </w:rPr>
      </w:r>
      <w:r/>
    </w:p>
    <w:p>
      <w:pPr>
        <w:pStyle w:val="1224"/>
        <w:ind w:firstLine="420"/>
        <w:spacing w:line="480" w:lineRule="exact"/>
        <w:rPr>
          <w:color w:val="000000"/>
          <w:sz w:val="24"/>
          <w:szCs w:val="24"/>
        </w:rPr>
      </w:pPr>
      <w:r>
        <w:rPr>
          <w:color w:val="000000"/>
          <w:sz w:val="24"/>
          <w:szCs w:val="24"/>
        </w:rPr>
      </w:r>
      <w:r/>
    </w:p>
    <w:p>
      <w:pPr>
        <w:pStyle w:val="1224"/>
        <w:ind w:firstLine="420"/>
        <w:spacing w:line="480" w:lineRule="exact"/>
        <w:rPr>
          <w:color w:val="000000"/>
          <w:sz w:val="24"/>
          <w:szCs w:val="24"/>
        </w:rPr>
      </w:pPr>
      <w:r>
        <w:rPr>
          <w:color w:val="000000"/>
          <w:sz w:val="24"/>
          <w:szCs w:val="24"/>
        </w:rPr>
      </w:r>
      <w:r/>
    </w:p>
    <w:p>
      <w:pPr>
        <w:pStyle w:val="1224"/>
        <w:ind w:firstLine="420"/>
        <w:spacing w:line="480" w:lineRule="exact"/>
        <w:rPr>
          <w:color w:val="000000"/>
          <w:sz w:val="24"/>
          <w:szCs w:val="24"/>
        </w:rPr>
      </w:pPr>
      <w:r>
        <w:rPr>
          <w:color w:val="000000"/>
          <w:sz w:val="24"/>
          <w:szCs w:val="24"/>
        </w:rPr>
      </w:r>
      <w:r/>
    </w:p>
    <w:p>
      <w:pPr>
        <w:pStyle w:val="1224"/>
        <w:ind w:firstLine="420"/>
        <w:spacing w:line="480" w:lineRule="exact"/>
        <w:rPr>
          <w:color w:val="000000"/>
          <w:sz w:val="24"/>
          <w:szCs w:val="24"/>
        </w:rPr>
      </w:pPr>
      <w:r>
        <w:rPr>
          <w:color w:val="000000"/>
          <w:sz w:val="24"/>
          <w:szCs w:val="24"/>
        </w:rPr>
      </w:r>
      <w:r/>
    </w:p>
    <w:p>
      <w:pPr>
        <w:pStyle w:val="1224"/>
        <w:ind w:firstLine="420"/>
        <w:spacing w:line="480" w:lineRule="exact"/>
        <w:rPr>
          <w:color w:val="000000"/>
          <w:sz w:val="24"/>
          <w:szCs w:val="24"/>
        </w:rPr>
      </w:pPr>
      <w:r>
        <w:rPr>
          <w:color w:val="000000"/>
          <w:sz w:val="24"/>
          <w:szCs w:val="24"/>
        </w:rPr>
      </w:r>
      <w:r/>
    </w:p>
    <w:p>
      <w:pPr>
        <w:pStyle w:val="1224"/>
        <w:ind w:firstLine="420"/>
        <w:spacing w:line="480" w:lineRule="exact"/>
        <w:rPr>
          <w:color w:val="000000"/>
          <w:sz w:val="24"/>
          <w:szCs w:val="24"/>
        </w:rPr>
      </w:pPr>
      <w:r>
        <w:rPr>
          <w:color w:val="000000"/>
          <w:sz w:val="24"/>
          <w:szCs w:val="24"/>
        </w:rPr>
      </w:r>
      <w:r/>
    </w:p>
    <w:p>
      <w:pPr>
        <w:pStyle w:val="1224"/>
        <w:ind w:firstLine="420"/>
        <w:spacing w:line="480" w:lineRule="exact"/>
        <w:rPr>
          <w:color w:val="000000"/>
          <w:sz w:val="24"/>
          <w:szCs w:val="24"/>
        </w:rPr>
      </w:pPr>
      <w:r>
        <w:rPr>
          <w:color w:val="000000"/>
          <w:sz w:val="24"/>
          <w:szCs w:val="24"/>
        </w:rPr>
      </w:r>
      <w:r/>
    </w:p>
    <w:p>
      <w:pPr>
        <w:pStyle w:val="1224"/>
        <w:ind w:firstLine="420"/>
        <w:spacing w:line="480" w:lineRule="exact"/>
        <w:rPr>
          <w:color w:val="000000"/>
          <w:sz w:val="24"/>
          <w:szCs w:val="24"/>
        </w:rPr>
      </w:pPr>
      <w:r>
        <w:rPr>
          <w:color w:val="000000"/>
          <w:sz w:val="24"/>
          <w:szCs w:val="24"/>
        </w:rPr>
      </w:r>
      <w:r/>
    </w:p>
    <w:p>
      <w:pPr>
        <w:pStyle w:val="1224"/>
        <w:ind w:firstLine="420"/>
        <w:spacing w:line="480" w:lineRule="exact"/>
        <w:rPr>
          <w:color w:val="000000"/>
          <w:sz w:val="24"/>
          <w:szCs w:val="24"/>
        </w:rPr>
      </w:pPr>
      <w:r>
        <w:rPr>
          <w:color w:val="000000"/>
          <w:sz w:val="24"/>
          <w:szCs w:val="24"/>
        </w:rPr>
      </w:r>
      <w:r/>
    </w:p>
    <w:p>
      <w:pPr>
        <w:pStyle w:val="1224"/>
        <w:ind w:firstLine="420"/>
        <w:spacing w:line="480" w:lineRule="exact"/>
        <w:rPr>
          <w:color w:val="000000"/>
          <w:sz w:val="24"/>
          <w:szCs w:val="24"/>
        </w:rPr>
      </w:pPr>
      <w:r>
        <w:rPr>
          <w:color w:val="000000"/>
          <w:sz w:val="24"/>
          <w:szCs w:val="24"/>
        </w:rPr>
      </w:r>
      <w:r/>
    </w:p>
    <w:p>
      <w:pPr>
        <w:pStyle w:val="1224"/>
        <w:ind w:firstLine="420"/>
        <w:spacing w:line="480" w:lineRule="exact"/>
        <w:rPr>
          <w:color w:val="000000"/>
          <w:sz w:val="24"/>
          <w:szCs w:val="24"/>
        </w:rPr>
      </w:pPr>
      <w:r>
        <w:rPr>
          <w:color w:val="000000"/>
          <w:sz w:val="24"/>
          <w:szCs w:val="24"/>
        </w:rPr>
      </w:r>
      <w:r/>
    </w:p>
    <w:p>
      <w:pPr>
        <w:ind w:firstLine="643"/>
        <w:jc w:val="center"/>
        <w:spacing w:line="276" w:lineRule="auto"/>
        <w:rPr>
          <w:rFonts w:hint="eastAsia" w:ascii="仿宋" w:hAnsi="仿宋" w:eastAsia="仿宋" w:cs="仿宋"/>
          <w:b/>
          <w:bCs/>
          <w:color w:val="000000"/>
          <w:sz w:val="32"/>
          <w:szCs w:val="32"/>
        </w:rPr>
        <w:outlineLvl w:val="0"/>
      </w:pPr>
      <w:r/>
      <w:bookmarkStart w:id="181" w:name="_Toc29309"/>
      <w:r/>
      <w:bookmarkStart w:id="182" w:name="_Toc190964182"/>
      <w:r/>
      <w:bookmarkStart w:id="183" w:name="_Toc191392165"/>
      <w:r>
        <w:rPr>
          <w:rFonts w:hint="eastAsia" w:ascii="仿宋" w:hAnsi="仿宋" w:eastAsia="仿宋" w:cs="仿宋"/>
          <w:b/>
          <w:bCs/>
          <w:color w:val="000000"/>
          <w:sz w:val="32"/>
          <w:szCs w:val="32"/>
        </w:rPr>
        <w:t xml:space="preserve">质疑函范本</w:t>
      </w:r>
      <w:bookmarkEnd w:id="181"/>
      <w:r/>
      <w:bookmarkEnd w:id="182"/>
      <w:r/>
      <w:bookmarkEnd w:id="183"/>
      <w:r/>
      <w:r/>
    </w:p>
    <w:p>
      <w:pPr>
        <w:ind w:firstLine="480"/>
        <w:spacing w:before="290" w:line="276"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一、质疑投标人基本信息</w:t>
      </w:r>
      <w:r/>
    </w:p>
    <w:p>
      <w:pPr>
        <w:ind w:firstLine="480"/>
        <w:spacing w:line="276"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质疑投标人：</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授权代表：</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ascii="仿宋" w:hAnsi="仿宋" w:eastAsia="仿宋" w:cs="仿宋"/>
          <w:color w:val="000000"/>
          <w:sz w:val="24"/>
          <w:szCs w:val="24"/>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二、质疑项目基本情况</w:t>
      </w:r>
      <w:r/>
    </w:p>
    <w:p>
      <w:pPr>
        <w:ind w:firstLine="48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质疑项目的名称：</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质疑项目的编号：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包号：</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采购人名称：</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采购文件获取日期：</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三、质疑事项具体内容</w:t>
      </w:r>
      <w:r/>
    </w:p>
    <w:p>
      <w:pPr>
        <w:ind w:firstLine="480"/>
        <w:spacing w:line="276"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质疑事项1：</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事实依据：</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法律依据：</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质疑事项2</w:t>
      </w:r>
      <w:r/>
    </w:p>
    <w:p>
      <w:pPr>
        <w:ind w:firstLine="480"/>
        <w:spacing w:line="276"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p>
      <w:pPr>
        <w:ind w:firstLine="480"/>
        <w:spacing w:line="276"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四、与质疑事项相关的质疑请求</w:t>
      </w:r>
      <w:r/>
    </w:p>
    <w:p>
      <w:pPr>
        <w:ind w:firstLine="480"/>
        <w:spacing w:line="276"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请求：</w:t>
      </w:r>
      <w:r>
        <w:rPr>
          <w:rFonts w:hint="eastAsia" w:ascii="仿宋" w:hAnsi="仿宋" w:eastAsia="仿宋" w:cs="仿宋"/>
          <w:color w:val="000000"/>
          <w:sz w:val="24"/>
          <w:szCs w:val="24"/>
          <w:u w:val="single"/>
        </w:rPr>
        <w:t xml:space="preserve">                                                                     </w:t>
      </w:r>
      <w:r/>
    </w:p>
    <w:p>
      <w:pPr>
        <w:ind w:firstLine="480"/>
        <w:spacing w:line="276" w:lineRule="auto"/>
        <w:rPr>
          <w:rFonts w:hint="eastAsia" w:ascii="仿宋" w:hAnsi="仿宋" w:eastAsia="仿宋"/>
          <w:color w:val="000000"/>
          <w:sz w:val="24"/>
          <w:szCs w:val="24"/>
        </w:rPr>
      </w:pPr>
      <w:r>
        <w:rPr>
          <w:rFonts w:hint="eastAsia" w:ascii="仿宋" w:hAnsi="仿宋" w:eastAsia="仿宋"/>
          <w:color w:val="000000"/>
          <w:sz w:val="24"/>
          <w:szCs w:val="24"/>
        </w:rPr>
        <w:t xml:space="preserve">签字（签章）：                   公章：                      </w:t>
      </w:r>
      <w:r/>
    </w:p>
    <w:p>
      <w:pPr>
        <w:ind w:firstLine="480"/>
        <w:spacing w:line="276" w:lineRule="auto"/>
        <w:rPr>
          <w:rFonts w:hint="eastAsia" w:ascii="仿宋" w:hAnsi="仿宋" w:eastAsia="仿宋"/>
          <w:color w:val="000000"/>
          <w:sz w:val="24"/>
          <w:szCs w:val="24"/>
        </w:rPr>
      </w:pPr>
      <w:r>
        <w:rPr>
          <w:rFonts w:hint="eastAsia" w:ascii="仿宋" w:hAnsi="仿宋" w:eastAsia="仿宋"/>
          <w:color w:val="000000"/>
          <w:sz w:val="24"/>
          <w:szCs w:val="24"/>
        </w:rPr>
        <w:t xml:space="preserve">日期：    </w:t>
      </w:r>
      <w:r/>
    </w:p>
    <w:p>
      <w:pPr>
        <w:ind w:firstLine="482"/>
        <w:spacing w:line="276" w:lineRule="auto"/>
        <w:rPr>
          <w:rFonts w:hint="eastAsia" w:ascii="仿宋" w:hAnsi="仿宋" w:eastAsia="仿宋"/>
          <w:b/>
          <w:color w:val="000000"/>
          <w:sz w:val="24"/>
          <w:szCs w:val="24"/>
        </w:rPr>
      </w:pPr>
      <w:r>
        <w:rPr>
          <w:rFonts w:hint="eastAsia" w:ascii="仿宋" w:hAnsi="仿宋" w:eastAsia="仿宋"/>
          <w:b/>
          <w:color w:val="000000"/>
          <w:sz w:val="24"/>
          <w:szCs w:val="24"/>
        </w:rPr>
        <w:t xml:space="preserve">质疑函制作说明：</w:t>
      </w:r>
      <w:r/>
    </w:p>
    <w:p>
      <w:pPr>
        <w:ind w:firstLine="480"/>
        <w:jc w:val="left"/>
        <w:spacing w:line="276" w:lineRule="auto"/>
        <w:widowControl/>
        <w:rPr>
          <w:rFonts w:hint="eastAsia" w:ascii="仿宋" w:hAnsi="仿宋" w:eastAsia="仿宋"/>
          <w:color w:val="000000"/>
          <w:sz w:val="24"/>
          <w:szCs w:val="24"/>
        </w:rPr>
      </w:pPr>
      <w:r>
        <w:rPr>
          <w:rFonts w:hint="eastAsia" w:ascii="仿宋" w:hAnsi="仿宋" w:eastAsia="仿宋"/>
          <w:color w:val="000000"/>
          <w:sz w:val="24"/>
          <w:szCs w:val="24"/>
        </w:rPr>
        <w:t xml:space="preserve">1.投标人提出质疑时，应提交质疑函和必要的证明材料。</w:t>
      </w:r>
      <w:r/>
    </w:p>
    <w:p>
      <w:pPr>
        <w:ind w:firstLine="480"/>
        <w:jc w:val="left"/>
        <w:spacing w:line="276" w:lineRule="auto"/>
        <w:widowControl/>
        <w:rPr>
          <w:rFonts w:hint="eastAsia" w:ascii="仿宋" w:hAnsi="仿宋" w:eastAsia="仿宋"/>
          <w:color w:val="000000"/>
          <w:sz w:val="24"/>
          <w:szCs w:val="24"/>
        </w:rPr>
      </w:pPr>
      <w:r>
        <w:rPr>
          <w:rFonts w:hint="eastAsia" w:ascii="仿宋" w:hAnsi="仿宋" w:eastAsia="仿宋"/>
          <w:color w:val="000000"/>
          <w:sz w:val="24"/>
          <w:szCs w:val="24"/>
        </w:rPr>
        <w:t xml:space="preserve">2.质疑投标人若委托代理人进行质疑的，质疑函应按要求列明“授权代表”的有关内容，并在附件中提交由质疑</w:t>
      </w:r>
      <w:r>
        <w:rPr>
          <w:rFonts w:hint="eastAsia" w:ascii="仿宋" w:hAnsi="仿宋" w:eastAsia="仿宋" w:cs="宋体"/>
          <w:color w:val="000000"/>
          <w:sz w:val="24"/>
          <w:szCs w:val="24"/>
        </w:rPr>
        <w:t xml:space="preserve">投标人签署的授权委托书。授权委托书应载明代理人的姓名或者名称、代理事项、具体权限、期限和相关事项。</w:t>
      </w:r>
      <w:r/>
    </w:p>
    <w:p>
      <w:pPr>
        <w:ind w:firstLine="480"/>
        <w:jc w:val="left"/>
        <w:spacing w:line="276" w:lineRule="auto"/>
        <w:widowControl/>
        <w:rPr>
          <w:rFonts w:hint="eastAsia" w:ascii="仿宋" w:hAnsi="仿宋" w:eastAsia="仿宋"/>
          <w:color w:val="000000"/>
          <w:sz w:val="24"/>
          <w:szCs w:val="24"/>
        </w:rPr>
      </w:pPr>
      <w:r>
        <w:rPr>
          <w:rFonts w:hint="eastAsia" w:ascii="仿宋" w:hAnsi="仿宋" w:eastAsia="仿宋"/>
          <w:color w:val="000000"/>
          <w:sz w:val="24"/>
          <w:szCs w:val="24"/>
        </w:rPr>
        <w:t xml:space="preserve">3.质疑投标人若对项目的某一分包进行质疑，质疑函中应列明具体分包号。</w:t>
      </w:r>
      <w:r/>
    </w:p>
    <w:p>
      <w:pPr>
        <w:ind w:firstLine="480"/>
        <w:jc w:val="left"/>
        <w:spacing w:line="276" w:lineRule="auto"/>
        <w:widowControl/>
        <w:rPr>
          <w:rFonts w:hint="eastAsia" w:ascii="仿宋" w:hAnsi="仿宋" w:eastAsia="仿宋"/>
          <w:color w:val="000000"/>
          <w:sz w:val="24"/>
          <w:szCs w:val="24"/>
        </w:rPr>
      </w:pPr>
      <w:r>
        <w:rPr>
          <w:rFonts w:hint="eastAsia" w:ascii="仿宋" w:hAnsi="仿宋" w:eastAsia="仿宋"/>
          <w:color w:val="000000"/>
          <w:sz w:val="24"/>
          <w:szCs w:val="24"/>
        </w:rPr>
        <w:t xml:space="preserve">4.质疑函的质疑事项应具体、明确，并有必要的事实依据和法律依据。</w:t>
      </w:r>
      <w:r/>
    </w:p>
    <w:p>
      <w:pPr>
        <w:ind w:firstLine="480"/>
        <w:jc w:val="left"/>
        <w:spacing w:line="276" w:lineRule="auto"/>
        <w:widowControl/>
        <w:rPr>
          <w:rFonts w:hint="eastAsia" w:ascii="仿宋" w:hAnsi="仿宋" w:eastAsia="仿宋"/>
          <w:color w:val="000000"/>
          <w:sz w:val="24"/>
          <w:szCs w:val="24"/>
        </w:rPr>
      </w:pPr>
      <w:r>
        <w:rPr>
          <w:rFonts w:hint="eastAsia" w:ascii="仿宋" w:hAnsi="仿宋" w:eastAsia="仿宋"/>
          <w:color w:val="000000"/>
          <w:sz w:val="24"/>
          <w:szCs w:val="24"/>
        </w:rPr>
        <w:t xml:space="preserve">5.质疑函的质疑请求应与质疑事项相关。</w:t>
      </w:r>
      <w:r/>
    </w:p>
    <w:p>
      <w:pPr>
        <w:ind w:firstLine="480"/>
        <w:jc w:val="left"/>
        <w:spacing w:line="276" w:lineRule="auto"/>
        <w:widowControl/>
        <w:rPr>
          <w:color w:val="000000"/>
          <w:sz w:val="24"/>
          <w:szCs w:val="24"/>
        </w:rPr>
      </w:pPr>
      <w:r>
        <w:rPr>
          <w:rFonts w:hint="eastAsia" w:ascii="仿宋" w:hAnsi="仿宋" w:eastAsia="仿宋"/>
          <w:color w:val="000000"/>
          <w:sz w:val="24"/>
          <w:szCs w:val="24"/>
        </w:rPr>
        <w:t xml:space="preserve">6.质疑投标人为自然人的，质疑函应由本人签字；质疑投标人为法人或者其他组织的，质疑函应由法定代表人、主要负责人，或者其授权代表签字或者盖章，并加盖公章。</w:t>
      </w:r>
      <w:r/>
    </w:p>
    <w:sectPr>
      <w:footnotePr/>
      <w:endnotePr/>
      <w:type w:val="nextPage"/>
      <w:pgSz w:w="11906" w:h="16838" w:orient="portrait"/>
      <w:pgMar w:top="1667" w:right="1474" w:bottom="1667"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r/>
  </w:p>
  <w:p>
    <w:pPr>
      <w:pStyle w:val="9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r/>
  </w:p>
  <w:p>
    <w:pPr>
      <w:pStyle w:val="95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posOffset>2321560</wp:posOffset>
              </wp:positionH>
              <wp:positionV relativeFrom="paragraph">
                <wp:posOffset>50800</wp:posOffset>
              </wp:positionV>
              <wp:extent cx="1116330" cy="215265"/>
              <wp:effectExtent l="6350" t="6350" r="6350" b="6350"/>
              <wp:wrapNone/>
              <wp:docPr id="2" name="文本框 3"/>
              <wp:cNvGraphicFramePr/>
              <a:graphic xmlns:a="http://schemas.openxmlformats.org/drawingml/2006/main">
                <a:graphicData uri="http://schemas.microsoft.com/office/word/2010/wordprocessingShape">
                  <wps:wsp>
                    <wps:cNvPr id="0" name=""/>
                    <wps:cNvSpPr/>
                    <wps:spPr bwMode="auto">
                      <a:xfrm>
                        <a:off x="0" y="0"/>
                        <a:ext cx="1116330" cy="215265"/>
                      </a:xfrm>
                      <a:prstGeom prst="rect">
                        <a:avLst/>
                      </a:prstGeom>
                      <a:ln>
                        <a:noFill/>
                      </a:ln>
                    </wps:spPr>
                    <wps:txbx>
                      <w:txbxContent>
                        <w:p>
                          <w:pPr>
                            <w:pStyle w:val="95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108</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1" o:spid="_x0000_s1" o:spt="1" type="#_x0000_t1" style="position:absolute;z-index:251660288;o:allowoverlap:true;o:allowincell:true;mso-position-horizontal-relative:margin;margin-left:182.8pt;mso-position-horizontal:absolute;mso-position-vertical-relative:text;margin-top:4.0pt;mso-position-vertical:absolute;width:87.9pt;height:16.9pt;mso-wrap-distance-left:0.0pt;mso-wrap-distance-top:0.0pt;mso-wrap-distance-right:0.0pt;mso-wrap-distance-bottom:0.0pt;visibility:visible;" filled="f" stroked="f">
              <v:textbox inset="0,0,0,0">
                <w:txbxContent>
                  <w:p>
                    <w:pPr>
                      <w:pStyle w:val="95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108</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5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posOffset>2847975</wp:posOffset>
              </wp:positionH>
              <wp:positionV relativeFrom="paragraph">
                <wp:posOffset>-12700</wp:posOffset>
              </wp:positionV>
              <wp:extent cx="982980" cy="279400"/>
              <wp:effectExtent l="6350" t="6350" r="6350" b="6350"/>
              <wp:wrapNone/>
              <wp:docPr id="3" name="文本框 1"/>
              <wp:cNvGraphicFramePr/>
              <a:graphic xmlns:a="http://schemas.openxmlformats.org/drawingml/2006/main">
                <a:graphicData uri="http://schemas.microsoft.com/office/word/2010/wordprocessingShape">
                  <wps:wsp>
                    <wps:cNvPr id="0" name=""/>
                    <wps:cNvSpPr/>
                    <wps:spPr bwMode="auto">
                      <a:xfrm>
                        <a:off x="0" y="0"/>
                        <a:ext cx="982979" cy="279400"/>
                      </a:xfrm>
                      <a:prstGeom prst="rect">
                        <a:avLst/>
                      </a:prstGeom>
                      <a:ln>
                        <a:noFill/>
                      </a:ln>
                    </wps:spPr>
                    <wps:txbx>
                      <w:txbxContent>
                        <w:p>
                          <w:pPr>
                            <w:pStyle w:val="95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120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margin;margin-left:224.2pt;mso-position-horizontal:absolute;mso-position-vertical-relative:text;margin-top:-1.0pt;mso-position-vertical:absolute;width:77.4pt;height:22.0pt;mso-wrap-distance-left:0.0pt;mso-wrap-distance-top:0.0pt;mso-wrap-distance-right:0.0pt;mso-wrap-distance-bottom:0.0pt;visibility:visible;" filled="f" stroked="f">
              <v:textbox inset="0,0,0,0">
                <w:txbxContent>
                  <w:p>
                    <w:pPr>
                      <w:pStyle w:val="95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120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5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pStyle w:val="1306"/>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291"/>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8">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15"/>
  </w:num>
  <w:num w:numId="3">
    <w:abstractNumId w:val="37"/>
  </w:num>
  <w:num w:numId="4">
    <w:abstractNumId w:val="11"/>
  </w:num>
  <w:num w:numId="5">
    <w:abstractNumId w:val="19"/>
  </w:num>
  <w:num w:numId="6">
    <w:abstractNumId w:val="10"/>
  </w:num>
  <w:num w:numId="7">
    <w:abstractNumId w:val="2"/>
  </w:num>
  <w:num w:numId="8">
    <w:abstractNumId w:val="3"/>
  </w:num>
  <w:num w:numId="9">
    <w:abstractNumId w:val="17"/>
  </w:num>
  <w:num w:numId="10">
    <w:abstractNumId w:val="42"/>
  </w:num>
  <w:num w:numId="11">
    <w:abstractNumId w:val="32"/>
  </w:num>
  <w:num w:numId="12">
    <w:abstractNumId w:val="7"/>
  </w:num>
  <w:num w:numId="13">
    <w:abstractNumId w:val="27"/>
  </w:num>
  <w:num w:numId="14">
    <w:abstractNumId w:val="12"/>
  </w:num>
  <w:num w:numId="15">
    <w:abstractNumId w:val="39"/>
  </w:num>
  <w:num w:numId="16">
    <w:abstractNumId w:val="47"/>
  </w:num>
  <w:num w:numId="17">
    <w:abstractNumId w:val="6"/>
  </w:num>
  <w:num w:numId="18">
    <w:abstractNumId w:val="30"/>
  </w:num>
  <w:num w:numId="19">
    <w:abstractNumId w:val="43"/>
  </w:num>
  <w:num w:numId="20">
    <w:abstractNumId w:val="22"/>
  </w:num>
  <w:num w:numId="21">
    <w:abstractNumId w:val="24"/>
  </w:num>
  <w:num w:numId="22">
    <w:abstractNumId w:val="1"/>
  </w:num>
  <w:num w:numId="23">
    <w:abstractNumId w:val="48"/>
  </w:num>
  <w:num w:numId="24">
    <w:abstractNumId w:val="31"/>
  </w:num>
  <w:num w:numId="25">
    <w:abstractNumId w:val="46"/>
  </w:num>
  <w:num w:numId="26">
    <w:abstractNumId w:val="23"/>
  </w:num>
  <w:num w:numId="27">
    <w:abstractNumId w:val="5"/>
  </w:num>
  <w:num w:numId="28">
    <w:abstractNumId w:val="38"/>
  </w:num>
  <w:num w:numId="29">
    <w:abstractNumId w:val="13"/>
  </w:num>
  <w:num w:numId="30">
    <w:abstractNumId w:val="35"/>
  </w:num>
  <w:num w:numId="31">
    <w:abstractNumId w:val="20"/>
  </w:num>
  <w:num w:numId="32">
    <w:abstractNumId w:val="36"/>
  </w:num>
  <w:num w:numId="33">
    <w:abstractNumId w:val="14"/>
  </w:num>
  <w:num w:numId="34">
    <w:abstractNumId w:val="33"/>
  </w:num>
  <w:num w:numId="35">
    <w:abstractNumId w:val="0"/>
  </w:num>
  <w:num w:numId="36">
    <w:abstractNumId w:val="34"/>
  </w:num>
  <w:num w:numId="37">
    <w:abstractNumId w:val="26"/>
  </w:num>
  <w:num w:numId="38">
    <w:abstractNumId w:val="29"/>
  </w:num>
  <w:num w:numId="39">
    <w:abstractNumId w:val="28"/>
  </w:num>
  <w:num w:numId="40">
    <w:abstractNumId w:val="18"/>
  </w:num>
  <w:num w:numId="41">
    <w:abstractNumId w:val="16"/>
  </w:num>
  <w:num w:numId="42">
    <w:abstractNumId w:val="4"/>
  </w:num>
  <w:num w:numId="43">
    <w:abstractNumId w:val="44"/>
  </w:num>
  <w:num w:numId="44">
    <w:abstractNumId w:val="40"/>
  </w:num>
  <w:num w:numId="45">
    <w:abstractNumId w:val="9"/>
  </w:num>
  <w:num w:numId="46">
    <w:abstractNumId w:val="8"/>
  </w:num>
  <w:num w:numId="47">
    <w:abstractNumId w:val="41"/>
  </w:num>
  <w:num w:numId="48">
    <w:abstractNumId w:val="45"/>
  </w:num>
  <w:num w:numId="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4"/>
    <w:link w:val="865"/>
    <w:uiPriority w:val="9"/>
    <w:rPr>
      <w:rFonts w:ascii="Arial" w:hAnsi="Arial" w:eastAsia="Arial" w:cs="Arial"/>
      <w:sz w:val="40"/>
      <w:szCs w:val="40"/>
    </w:rPr>
  </w:style>
  <w:style w:type="character" w:styleId="15">
    <w:name w:val="Heading 2 Char"/>
    <w:basedOn w:val="874"/>
    <w:link w:val="866"/>
    <w:uiPriority w:val="9"/>
    <w:rPr>
      <w:rFonts w:ascii="Arial" w:hAnsi="Arial" w:eastAsia="Arial" w:cs="Arial"/>
      <w:sz w:val="34"/>
    </w:rPr>
  </w:style>
  <w:style w:type="character" w:styleId="17">
    <w:name w:val="Heading 3 Char"/>
    <w:basedOn w:val="874"/>
    <w:link w:val="867"/>
    <w:uiPriority w:val="9"/>
    <w:rPr>
      <w:rFonts w:ascii="Arial" w:hAnsi="Arial" w:eastAsia="Arial" w:cs="Arial"/>
      <w:sz w:val="30"/>
      <w:szCs w:val="30"/>
    </w:rPr>
  </w:style>
  <w:style w:type="character" w:styleId="19">
    <w:name w:val="Heading 4 Char"/>
    <w:basedOn w:val="874"/>
    <w:link w:val="868"/>
    <w:uiPriority w:val="9"/>
    <w:rPr>
      <w:rFonts w:ascii="Arial" w:hAnsi="Arial" w:eastAsia="Arial" w:cs="Arial"/>
      <w:b/>
      <w:bCs/>
      <w:sz w:val="26"/>
      <w:szCs w:val="26"/>
    </w:rPr>
  </w:style>
  <w:style w:type="character" w:styleId="21">
    <w:name w:val="Heading 5 Char"/>
    <w:basedOn w:val="874"/>
    <w:link w:val="869"/>
    <w:uiPriority w:val="9"/>
    <w:rPr>
      <w:rFonts w:ascii="Arial" w:hAnsi="Arial" w:eastAsia="Arial" w:cs="Arial"/>
      <w:b/>
      <w:bCs/>
      <w:sz w:val="24"/>
      <w:szCs w:val="24"/>
    </w:rPr>
  </w:style>
  <w:style w:type="character" w:styleId="23">
    <w:name w:val="Heading 6 Char"/>
    <w:basedOn w:val="874"/>
    <w:link w:val="870"/>
    <w:uiPriority w:val="9"/>
    <w:rPr>
      <w:rFonts w:ascii="Arial" w:hAnsi="Arial" w:eastAsia="Arial" w:cs="Arial"/>
      <w:b/>
      <w:bCs/>
      <w:sz w:val="22"/>
      <w:szCs w:val="22"/>
    </w:rPr>
  </w:style>
  <w:style w:type="character" w:styleId="25">
    <w:name w:val="Heading 7 Char"/>
    <w:basedOn w:val="874"/>
    <w:link w:val="871"/>
    <w:uiPriority w:val="9"/>
    <w:rPr>
      <w:rFonts w:ascii="Arial" w:hAnsi="Arial" w:eastAsia="Arial" w:cs="Arial"/>
      <w:b/>
      <w:bCs/>
      <w:i/>
      <w:iCs/>
      <w:sz w:val="22"/>
      <w:szCs w:val="22"/>
    </w:rPr>
  </w:style>
  <w:style w:type="character" w:styleId="27">
    <w:name w:val="Heading 8 Char"/>
    <w:basedOn w:val="874"/>
    <w:link w:val="872"/>
    <w:uiPriority w:val="9"/>
    <w:rPr>
      <w:rFonts w:ascii="Arial" w:hAnsi="Arial" w:eastAsia="Arial" w:cs="Arial"/>
      <w:i/>
      <w:iCs/>
      <w:sz w:val="22"/>
      <w:szCs w:val="22"/>
    </w:rPr>
  </w:style>
  <w:style w:type="character" w:styleId="29">
    <w:name w:val="Heading 9 Char"/>
    <w:basedOn w:val="874"/>
    <w:link w:val="873"/>
    <w:uiPriority w:val="9"/>
    <w:rPr>
      <w:rFonts w:ascii="Arial" w:hAnsi="Arial" w:eastAsia="Arial" w:cs="Arial"/>
      <w:i/>
      <w:iCs/>
      <w:sz w:val="21"/>
      <w:szCs w:val="21"/>
    </w:rPr>
  </w:style>
  <w:style w:type="character" w:styleId="34">
    <w:name w:val="Title Char"/>
    <w:basedOn w:val="874"/>
    <w:link w:val="894"/>
    <w:uiPriority w:val="10"/>
    <w:rPr>
      <w:sz w:val="48"/>
      <w:szCs w:val="48"/>
    </w:rPr>
  </w:style>
  <w:style w:type="character" w:styleId="38">
    <w:name w:val="Quote Char"/>
    <w:link w:val="902"/>
    <w:uiPriority w:val="29"/>
    <w:rPr>
      <w:i/>
    </w:rPr>
  </w:style>
  <w:style w:type="character" w:styleId="40">
    <w:name w:val="Intense Quote Char"/>
    <w:link w:val="903"/>
    <w:uiPriority w:val="30"/>
    <w:rPr>
      <w:i/>
    </w:rPr>
  </w:style>
  <w:style w:type="character" w:styleId="42">
    <w:name w:val="Header Char"/>
    <w:basedOn w:val="874"/>
    <w:link w:val="884"/>
    <w:uiPriority w:val="99"/>
  </w:style>
  <w:style w:type="character" w:styleId="44">
    <w:name w:val="Footer Char"/>
    <w:basedOn w:val="874"/>
    <w:link w:val="883"/>
    <w:uiPriority w:val="99"/>
  </w:style>
  <w:style w:type="table" w:styleId="49">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6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65">
    <w:name w:val="Heading 1"/>
    <w:basedOn w:val="864"/>
    <w:next w:val="864"/>
    <w:uiPriority w:val="9"/>
    <w:qFormat/>
    <w:pPr>
      <w:keepLines/>
      <w:keepNext/>
      <w:spacing w:before="480" w:after="200"/>
      <w:outlineLvl w:val="0"/>
    </w:pPr>
    <w:rPr>
      <w:rFonts w:ascii="Arial" w:hAnsi="Arial" w:eastAsia="Arial" w:cs="Arial"/>
      <w:sz w:val="40"/>
      <w:szCs w:val="40"/>
    </w:rPr>
  </w:style>
  <w:style w:type="paragraph" w:styleId="866">
    <w:name w:val="Heading 2"/>
    <w:basedOn w:val="864"/>
    <w:next w:val="864"/>
    <w:uiPriority w:val="9"/>
    <w:qFormat/>
    <w:pPr>
      <w:keepLines/>
      <w:keepNext/>
      <w:spacing w:before="360" w:after="200"/>
      <w:outlineLvl w:val="1"/>
    </w:pPr>
    <w:rPr>
      <w:rFonts w:ascii="Arial" w:hAnsi="Arial" w:eastAsia="Arial" w:cs="Arial"/>
      <w:sz w:val="34"/>
    </w:rPr>
  </w:style>
  <w:style w:type="paragraph" w:styleId="867">
    <w:name w:val="Heading 3"/>
    <w:basedOn w:val="864"/>
    <w:next w:val="864"/>
    <w:uiPriority w:val="9"/>
    <w:qFormat/>
    <w:pPr>
      <w:keepLines/>
      <w:keepNext/>
      <w:spacing w:before="320" w:after="200"/>
      <w:outlineLvl w:val="2"/>
    </w:pPr>
    <w:rPr>
      <w:rFonts w:ascii="Arial" w:hAnsi="Arial" w:eastAsia="Arial" w:cs="Arial"/>
      <w:sz w:val="30"/>
      <w:szCs w:val="30"/>
    </w:rPr>
  </w:style>
  <w:style w:type="paragraph" w:styleId="868">
    <w:name w:val="Heading 4"/>
    <w:basedOn w:val="864"/>
    <w:next w:val="864"/>
    <w:uiPriority w:val="9"/>
    <w:qFormat/>
    <w:pPr>
      <w:keepLines/>
      <w:keepNext/>
      <w:spacing w:before="320" w:after="200"/>
      <w:outlineLvl w:val="3"/>
    </w:pPr>
    <w:rPr>
      <w:rFonts w:ascii="Arial" w:hAnsi="Arial" w:eastAsia="Arial" w:cs="Arial"/>
      <w:b/>
      <w:bCs/>
      <w:sz w:val="26"/>
      <w:szCs w:val="26"/>
    </w:rPr>
  </w:style>
  <w:style w:type="paragraph" w:styleId="869">
    <w:name w:val="Heading 5"/>
    <w:basedOn w:val="864"/>
    <w:next w:val="864"/>
    <w:uiPriority w:val="9"/>
    <w:qFormat/>
    <w:pPr>
      <w:keepLines/>
      <w:keepNext/>
      <w:spacing w:before="320" w:after="200"/>
      <w:outlineLvl w:val="4"/>
    </w:pPr>
    <w:rPr>
      <w:rFonts w:ascii="Arial" w:hAnsi="Arial" w:eastAsia="Arial" w:cs="Arial"/>
      <w:b/>
      <w:bCs/>
      <w:sz w:val="24"/>
      <w:szCs w:val="24"/>
    </w:rPr>
  </w:style>
  <w:style w:type="paragraph" w:styleId="870">
    <w:name w:val="Heading 6"/>
    <w:basedOn w:val="864"/>
    <w:next w:val="864"/>
    <w:uiPriority w:val="9"/>
    <w:qFormat/>
    <w:pPr>
      <w:keepLines/>
      <w:keepNext/>
      <w:spacing w:before="320" w:after="200"/>
      <w:outlineLvl w:val="5"/>
    </w:pPr>
    <w:rPr>
      <w:rFonts w:ascii="Arial" w:hAnsi="Arial" w:eastAsia="Arial" w:cs="Arial"/>
      <w:b/>
      <w:bCs/>
      <w:sz w:val="22"/>
    </w:rPr>
  </w:style>
  <w:style w:type="paragraph" w:styleId="871">
    <w:name w:val="Heading 7"/>
    <w:basedOn w:val="864"/>
    <w:next w:val="864"/>
    <w:uiPriority w:val="9"/>
    <w:qFormat/>
    <w:pPr>
      <w:keepLines/>
      <w:keepNext/>
      <w:spacing w:before="320" w:after="200"/>
      <w:outlineLvl w:val="6"/>
    </w:pPr>
    <w:rPr>
      <w:rFonts w:ascii="Arial" w:hAnsi="Arial" w:eastAsia="Arial" w:cs="Arial"/>
      <w:b/>
      <w:bCs/>
      <w:i/>
      <w:iCs/>
      <w:sz w:val="22"/>
    </w:rPr>
  </w:style>
  <w:style w:type="paragraph" w:styleId="872">
    <w:name w:val="Heading 8"/>
    <w:basedOn w:val="864"/>
    <w:next w:val="864"/>
    <w:uiPriority w:val="9"/>
    <w:qFormat/>
    <w:pPr>
      <w:keepLines/>
      <w:keepNext/>
      <w:spacing w:before="320" w:after="200"/>
      <w:outlineLvl w:val="7"/>
    </w:pPr>
    <w:rPr>
      <w:rFonts w:ascii="Arial" w:hAnsi="Arial" w:eastAsia="Arial" w:cs="Arial"/>
      <w:i/>
      <w:iCs/>
      <w:sz w:val="22"/>
    </w:rPr>
  </w:style>
  <w:style w:type="paragraph" w:styleId="873">
    <w:name w:val="Heading 9"/>
    <w:basedOn w:val="864"/>
    <w:next w:val="864"/>
    <w:uiPriority w:val="9"/>
    <w:qFormat/>
    <w:pPr>
      <w:keepLines/>
      <w:keepNext/>
      <w:spacing w:before="320" w:after="200"/>
      <w:outlineLvl w:val="8"/>
    </w:pPr>
    <w:rPr>
      <w:rFonts w:ascii="Arial" w:hAnsi="Arial" w:eastAsia="Arial" w:cs="Arial"/>
      <w:i/>
      <w:iCs/>
      <w:szCs w:val="21"/>
    </w:rPr>
  </w:style>
  <w:style w:type="character" w:styleId="874" w:default="1">
    <w:name w:val="Default Paragraph Font"/>
    <w:uiPriority w:val="1"/>
    <w:semiHidden/>
    <w:unhideWhenUsed/>
    <w:qFormat/>
  </w:style>
  <w:style w:type="table" w:styleId="875" w:default="1">
    <w:name w:val="Normal Table"/>
    <w:uiPriority w:val="99"/>
    <w:semiHidden/>
    <w:unhideWhenUsed/>
    <w:qFormat/>
    <w:tblPr>
      <w:tblCellMar>
        <w:left w:w="108" w:type="dxa"/>
        <w:top w:w="0" w:type="dxa"/>
        <w:right w:w="108" w:type="dxa"/>
        <w:bottom w:w="0" w:type="dxa"/>
      </w:tblCellMar>
    </w:tblPr>
  </w:style>
  <w:style w:type="paragraph" w:styleId="876">
    <w:name w:val="toc 7"/>
    <w:basedOn w:val="864"/>
    <w:next w:val="864"/>
    <w:uiPriority w:val="39"/>
    <w:qFormat/>
    <w:pPr>
      <w:ind w:left="1701"/>
      <w:spacing w:after="57"/>
    </w:pPr>
  </w:style>
  <w:style w:type="paragraph" w:styleId="877">
    <w:name w:val="Caption"/>
    <w:basedOn w:val="864"/>
    <w:next w:val="864"/>
    <w:uiPriority w:val="35"/>
    <w:qFormat/>
    <w:pPr>
      <w:spacing w:line="276" w:lineRule="auto"/>
    </w:pPr>
    <w:rPr>
      <w:b/>
      <w:bCs/>
      <w:color w:val="4f81bd"/>
      <w:sz w:val="18"/>
      <w:szCs w:val="18"/>
    </w:rPr>
  </w:style>
  <w:style w:type="paragraph" w:styleId="878">
    <w:name w:val="annotation text"/>
    <w:basedOn w:val="864"/>
    <w:uiPriority w:val="99"/>
    <w:qFormat/>
    <w:pPr>
      <w:jc w:val="left"/>
    </w:pPr>
  </w:style>
  <w:style w:type="paragraph" w:styleId="879">
    <w:name w:val="toc 5"/>
    <w:basedOn w:val="864"/>
    <w:next w:val="864"/>
    <w:uiPriority w:val="39"/>
    <w:qFormat/>
    <w:pPr>
      <w:ind w:left="1134"/>
      <w:spacing w:after="57"/>
    </w:pPr>
  </w:style>
  <w:style w:type="paragraph" w:styleId="880">
    <w:name w:val="toc 3"/>
    <w:basedOn w:val="864"/>
    <w:next w:val="864"/>
    <w:uiPriority w:val="39"/>
    <w:qFormat/>
    <w:pPr>
      <w:ind w:left="567"/>
      <w:spacing w:after="57"/>
    </w:pPr>
  </w:style>
  <w:style w:type="paragraph" w:styleId="881">
    <w:name w:val="toc 8"/>
    <w:basedOn w:val="864"/>
    <w:next w:val="864"/>
    <w:uiPriority w:val="39"/>
    <w:qFormat/>
    <w:pPr>
      <w:ind w:left="1984"/>
      <w:spacing w:after="57"/>
    </w:pPr>
  </w:style>
  <w:style w:type="paragraph" w:styleId="882">
    <w:name w:val="endnote text"/>
    <w:basedOn w:val="864"/>
    <w:uiPriority w:val="99"/>
    <w:qFormat/>
    <w:rPr>
      <w:sz w:val="20"/>
    </w:rPr>
  </w:style>
  <w:style w:type="paragraph" w:styleId="883">
    <w:name w:val="Footer"/>
    <w:basedOn w:val="864"/>
    <w:uiPriority w:val="99"/>
    <w:qFormat/>
    <w:pPr>
      <w:tabs>
        <w:tab w:val="center" w:pos="7143" w:leader="none"/>
        <w:tab w:val="right" w:pos="14287" w:leader="none"/>
      </w:tabs>
    </w:pPr>
  </w:style>
  <w:style w:type="paragraph" w:styleId="884">
    <w:name w:val="Header"/>
    <w:basedOn w:val="864"/>
    <w:uiPriority w:val="99"/>
    <w:qFormat/>
    <w:pPr>
      <w:tabs>
        <w:tab w:val="center" w:pos="7143" w:leader="none"/>
        <w:tab w:val="right" w:pos="14287" w:leader="none"/>
      </w:tabs>
    </w:pPr>
  </w:style>
  <w:style w:type="paragraph" w:styleId="885">
    <w:name w:val="toc 1"/>
    <w:basedOn w:val="864"/>
    <w:next w:val="864"/>
    <w:uiPriority w:val="39"/>
    <w:qFormat/>
    <w:pPr>
      <w:spacing w:after="57"/>
    </w:pPr>
  </w:style>
  <w:style w:type="paragraph" w:styleId="886">
    <w:name w:val="toc 4"/>
    <w:basedOn w:val="864"/>
    <w:next w:val="864"/>
    <w:uiPriority w:val="39"/>
    <w:qFormat/>
    <w:pPr>
      <w:ind w:left="850"/>
      <w:spacing w:after="57"/>
    </w:pPr>
  </w:style>
  <w:style w:type="paragraph" w:styleId="887">
    <w:name w:val="Subtitle"/>
    <w:basedOn w:val="864"/>
    <w:next w:val="864"/>
    <w:uiPriority w:val="11"/>
    <w:qFormat/>
    <w:pPr>
      <w:spacing w:before="200" w:after="200"/>
    </w:pPr>
    <w:rPr>
      <w:sz w:val="24"/>
      <w:szCs w:val="24"/>
    </w:rPr>
  </w:style>
  <w:style w:type="paragraph" w:styleId="888">
    <w:name w:val="footnote text"/>
    <w:basedOn w:val="864"/>
    <w:uiPriority w:val="99"/>
    <w:qFormat/>
    <w:pPr>
      <w:spacing w:after="40"/>
    </w:pPr>
    <w:rPr>
      <w:sz w:val="18"/>
    </w:rPr>
  </w:style>
  <w:style w:type="paragraph" w:styleId="889">
    <w:name w:val="toc 6"/>
    <w:basedOn w:val="864"/>
    <w:next w:val="864"/>
    <w:uiPriority w:val="39"/>
    <w:qFormat/>
    <w:pPr>
      <w:ind w:left="1417"/>
      <w:spacing w:after="57"/>
    </w:pPr>
  </w:style>
  <w:style w:type="paragraph" w:styleId="890">
    <w:name w:val="table of figures"/>
    <w:basedOn w:val="864"/>
    <w:next w:val="864"/>
    <w:uiPriority w:val="99"/>
    <w:qFormat/>
  </w:style>
  <w:style w:type="paragraph" w:styleId="891">
    <w:name w:val="toc 2"/>
    <w:basedOn w:val="864"/>
    <w:next w:val="864"/>
    <w:uiPriority w:val="39"/>
    <w:qFormat/>
    <w:pPr>
      <w:ind w:left="283"/>
      <w:spacing w:after="57"/>
    </w:pPr>
  </w:style>
  <w:style w:type="paragraph" w:styleId="892">
    <w:name w:val="toc 9"/>
    <w:basedOn w:val="864"/>
    <w:next w:val="864"/>
    <w:uiPriority w:val="39"/>
    <w:qFormat/>
    <w:pPr>
      <w:ind w:left="2268"/>
      <w:spacing w:after="57"/>
    </w:pPr>
  </w:style>
  <w:style w:type="paragraph" w:styleId="893">
    <w:name w:val="Normal (Web)"/>
    <w:basedOn w:val="864"/>
    <w:uiPriority w:val="0"/>
    <w:pPr>
      <w:ind w:left="0" w:right="0"/>
      <w:jc w:val="left"/>
      <w:spacing w:before="0" w:beforeAutospacing="1" w:after="0" w:afterAutospacing="1"/>
    </w:pPr>
    <w:rPr>
      <w:sz w:val="24"/>
      <w:lang w:val="en-US" w:eastAsia="zh-CN" w:bidi="ar"/>
    </w:rPr>
  </w:style>
  <w:style w:type="paragraph" w:styleId="894">
    <w:name w:val="Title"/>
    <w:basedOn w:val="864"/>
    <w:next w:val="864"/>
    <w:uiPriority w:val="10"/>
    <w:qFormat/>
    <w:pPr>
      <w:contextualSpacing/>
      <w:spacing w:before="300" w:after="200"/>
    </w:pPr>
    <w:rPr>
      <w:sz w:val="48"/>
      <w:szCs w:val="48"/>
    </w:rPr>
  </w:style>
  <w:style w:type="table" w:styleId="8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name w:val="Strong"/>
    <w:basedOn w:val="874"/>
    <w:uiPriority w:val="0"/>
    <w:qFormat/>
    <w:rPr>
      <w:b/>
    </w:rPr>
  </w:style>
  <w:style w:type="character" w:styleId="897">
    <w:name w:val="endnote reference"/>
    <w:uiPriority w:val="99"/>
    <w:qFormat/>
    <w:rPr>
      <w:vertAlign w:val="superscript"/>
    </w:rPr>
  </w:style>
  <w:style w:type="character" w:styleId="898">
    <w:name w:val="Hyperlink"/>
    <w:uiPriority w:val="99"/>
    <w:qFormat/>
    <w:rPr>
      <w:color w:val="0000ff"/>
      <w:u w:val="single"/>
    </w:rPr>
  </w:style>
  <w:style w:type="character" w:styleId="899">
    <w:name w:val="footnote reference"/>
    <w:uiPriority w:val="99"/>
    <w:qFormat/>
    <w:rPr>
      <w:vertAlign w:val="superscript"/>
    </w:rPr>
  </w:style>
  <w:style w:type="paragraph" w:styleId="900">
    <w:name w:val="List Paragraph"/>
    <w:basedOn w:val="864"/>
    <w:uiPriority w:val="34"/>
    <w:qFormat/>
    <w:pPr>
      <w:contextualSpacing/>
      <w:ind w:left="720"/>
    </w:pPr>
  </w:style>
  <w:style w:type="paragraph" w:styleId="901">
    <w:name w:val="No Spacing"/>
    <w:uiPriority w:val="1"/>
    <w:qFormat/>
    <w:rPr>
      <w:rFonts w:ascii="Times New Roman" w:hAnsi="Times New Roman" w:eastAsia="宋体" w:cs="Times New Roman"/>
      <w:lang w:val="en-US" w:eastAsia="zh-CN" w:bidi="ar-SA"/>
    </w:rPr>
  </w:style>
  <w:style w:type="paragraph" w:styleId="902">
    <w:name w:val="Quote"/>
    <w:basedOn w:val="864"/>
    <w:next w:val="864"/>
    <w:uiPriority w:val="29"/>
    <w:qFormat/>
    <w:pPr>
      <w:ind w:left="720" w:right="720"/>
    </w:pPr>
    <w:rPr>
      <w:i/>
    </w:rPr>
  </w:style>
  <w:style w:type="paragraph" w:styleId="903">
    <w:name w:val="Intense Quote"/>
    <w:basedOn w:val="864"/>
    <w:next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04" w:customStyle="1">
    <w:name w:val="标题 11"/>
    <w:basedOn w:val="864"/>
    <w:next w:val="864"/>
    <w:link w:val="921"/>
    <w:uiPriority w:val="0"/>
    <w:qFormat/>
    <w:pPr>
      <w:keepLines/>
      <w:keepNext/>
      <w:spacing w:before="480" w:after="200"/>
      <w:outlineLvl w:val="0"/>
    </w:pPr>
    <w:rPr>
      <w:rFonts w:ascii="Arial" w:hAnsi="Arial" w:eastAsia="Arial" w:cs="Arial"/>
      <w:sz w:val="40"/>
      <w:szCs w:val="40"/>
    </w:rPr>
  </w:style>
  <w:style w:type="paragraph" w:styleId="905" w:customStyle="1">
    <w:name w:val="标题 211"/>
    <w:basedOn w:val="864"/>
    <w:next w:val="906"/>
    <w:link w:val="922"/>
    <w:uiPriority w:val="0"/>
    <w:qFormat/>
    <w:pPr>
      <w:keepLines/>
      <w:keepNext/>
      <w:spacing w:before="260" w:after="260" w:line="413" w:lineRule="auto"/>
      <w:outlineLvl w:val="1"/>
    </w:pPr>
    <w:rPr>
      <w:rFonts w:ascii="Arial" w:hAnsi="Arial" w:eastAsia="黑体"/>
      <w:b/>
      <w:sz w:val="32"/>
      <w:szCs w:val="20"/>
    </w:rPr>
  </w:style>
  <w:style w:type="paragraph" w:styleId="906" w:customStyle="1">
    <w:name w:val="正文缩进11"/>
    <w:basedOn w:val="864"/>
    <w:link w:val="923"/>
    <w:uiPriority w:val="0"/>
    <w:qFormat/>
    <w:pPr>
      <w:ind w:firstLine="420"/>
    </w:pPr>
    <w:rPr>
      <w:rFonts w:ascii="宋体"/>
      <w:color w:val="000000"/>
      <w:sz w:val="24"/>
      <w:szCs w:val="20"/>
    </w:rPr>
  </w:style>
  <w:style w:type="paragraph" w:styleId="907" w:customStyle="1">
    <w:name w:val="标题 311"/>
    <w:basedOn w:val="908"/>
    <w:next w:val="909"/>
    <w:link w:val="924"/>
    <w:uiPriority w:val="0"/>
    <w:qFormat/>
    <w:pPr>
      <w:keepLines/>
      <w:keepNext/>
      <w:spacing w:before="320" w:after="200"/>
      <w:outlineLvl w:val="2"/>
    </w:pPr>
    <w:rPr>
      <w:rFonts w:ascii="Arial" w:hAnsi="Arial" w:eastAsia="Arial" w:cs="Arial"/>
      <w:sz w:val="30"/>
      <w:szCs w:val="30"/>
    </w:rPr>
  </w:style>
  <w:style w:type="paragraph" w:styleId="908" w:customStyle="1">
    <w:name w:val="Normal1"/>
    <w:next w:val="907"/>
    <w:uiPriority w:val="0"/>
    <w:qFormat/>
    <w:pPr>
      <w:jc w:val="both"/>
      <w:widowControl w:val="off"/>
    </w:pPr>
    <w:rPr>
      <w:rFonts w:ascii="Calibri" w:hAnsi="Calibri" w:eastAsia="宋体" w:cs="Times New Roman"/>
      <w:sz w:val="21"/>
      <w:szCs w:val="22"/>
      <w:lang w:val="en-US" w:eastAsia="zh-CN" w:bidi="ar-SA"/>
    </w:rPr>
  </w:style>
  <w:style w:type="paragraph" w:styleId="909" w:customStyle="1">
    <w:name w:val="Normal_19"/>
    <w:next w:val="910"/>
    <w:uiPriority w:val="0"/>
    <w:qFormat/>
    <w:rPr>
      <w:rFonts w:ascii="黑体" w:hAnsi="黑体" w:eastAsia="黑体" w:cs="黑体"/>
      <w:b/>
      <w:sz w:val="32"/>
      <w:szCs w:val="24"/>
      <w:lang w:val="en-US" w:eastAsia="zh-CN" w:bidi="ar-SA"/>
    </w:rPr>
  </w:style>
  <w:style w:type="paragraph" w:styleId="910" w:customStyle="1">
    <w:name w:val="Normal11"/>
    <w:next w:val="911"/>
    <w:uiPriority w:val="0"/>
    <w:qFormat/>
    <w:pPr>
      <w:jc w:val="both"/>
      <w:widowControl w:val="off"/>
    </w:pPr>
    <w:rPr>
      <w:rFonts w:ascii="Times New Roman" w:hAnsi="Times New Roman" w:eastAsia="宋体" w:cs="Times New Roman"/>
      <w:szCs w:val="21"/>
      <w:lang w:val="en-US" w:eastAsia="zh-CN" w:bidi="ar-SA"/>
    </w:rPr>
  </w:style>
  <w:style w:type="paragraph" w:styleId="911" w:customStyle="1">
    <w:name w:val="Body Text First Indent1"/>
    <w:basedOn w:val="912"/>
    <w:uiPriority w:val="99"/>
    <w:qFormat/>
    <w:pPr>
      <w:ind w:firstLine="420"/>
    </w:pPr>
  </w:style>
  <w:style w:type="paragraph" w:styleId="912" w:customStyle="1">
    <w:name w:val="Body Text1"/>
    <w:basedOn w:val="910"/>
    <w:uiPriority w:val="99"/>
    <w:qFormat/>
    <w:pPr>
      <w:spacing w:after="120"/>
    </w:pPr>
  </w:style>
  <w:style w:type="paragraph" w:styleId="913" w:customStyle="1">
    <w:name w:val="标题 411"/>
    <w:basedOn w:val="864"/>
    <w:next w:val="864"/>
    <w:link w:val="925"/>
    <w:uiPriority w:val="0"/>
    <w:qFormat/>
    <w:pPr>
      <w:jc w:val="center"/>
      <w:keepNext/>
      <w:outlineLvl w:val="3"/>
    </w:pPr>
    <w:rPr>
      <w:rFonts w:eastAsia="新宋体"/>
      <w:sz w:val="30"/>
      <w:szCs w:val="21"/>
    </w:rPr>
  </w:style>
  <w:style w:type="paragraph" w:styleId="914" w:customStyle="1">
    <w:name w:val="标题 51"/>
    <w:basedOn w:val="864"/>
    <w:next w:val="864"/>
    <w:link w:val="926"/>
    <w:uiPriority w:val="0"/>
    <w:qFormat/>
    <w:pPr>
      <w:keepLines/>
      <w:keepNext/>
      <w:spacing w:before="320" w:after="200"/>
      <w:outlineLvl w:val="4"/>
    </w:pPr>
    <w:rPr>
      <w:rFonts w:ascii="Arial" w:hAnsi="Arial" w:eastAsia="Arial" w:cs="Arial"/>
      <w:b/>
      <w:bCs/>
      <w:sz w:val="24"/>
      <w:szCs w:val="24"/>
    </w:rPr>
  </w:style>
  <w:style w:type="paragraph" w:styleId="915" w:customStyle="1">
    <w:name w:val="标题 61"/>
    <w:basedOn w:val="864"/>
    <w:next w:val="864"/>
    <w:link w:val="927"/>
    <w:uiPriority w:val="0"/>
    <w:qFormat/>
    <w:pPr>
      <w:keepLines/>
      <w:keepNext/>
      <w:spacing w:before="320" w:after="200"/>
      <w:outlineLvl w:val="5"/>
    </w:pPr>
    <w:rPr>
      <w:rFonts w:ascii="Arial" w:hAnsi="Arial" w:eastAsia="Arial" w:cs="Arial"/>
      <w:b/>
      <w:bCs/>
      <w:sz w:val="22"/>
    </w:rPr>
  </w:style>
  <w:style w:type="paragraph" w:styleId="916" w:customStyle="1">
    <w:name w:val="标题 71"/>
    <w:basedOn w:val="864"/>
    <w:next w:val="864"/>
    <w:link w:val="928"/>
    <w:uiPriority w:val="0"/>
    <w:qFormat/>
    <w:pPr>
      <w:keepLines/>
      <w:keepNext/>
      <w:spacing w:before="320" w:after="200"/>
      <w:outlineLvl w:val="6"/>
    </w:pPr>
    <w:rPr>
      <w:rFonts w:ascii="Arial" w:hAnsi="Arial" w:eastAsia="Arial" w:cs="Arial"/>
      <w:b/>
      <w:bCs/>
      <w:i/>
      <w:iCs/>
      <w:sz w:val="22"/>
    </w:rPr>
  </w:style>
  <w:style w:type="paragraph" w:styleId="917" w:customStyle="1">
    <w:name w:val="标题 81"/>
    <w:basedOn w:val="864"/>
    <w:next w:val="864"/>
    <w:link w:val="929"/>
    <w:uiPriority w:val="0"/>
    <w:qFormat/>
    <w:pPr>
      <w:keepLines/>
      <w:keepNext/>
      <w:spacing w:before="320" w:after="200"/>
      <w:outlineLvl w:val="7"/>
    </w:pPr>
    <w:rPr>
      <w:rFonts w:ascii="Arial" w:hAnsi="Arial" w:eastAsia="Arial" w:cs="Arial"/>
      <w:i/>
      <w:iCs/>
      <w:sz w:val="22"/>
    </w:rPr>
  </w:style>
  <w:style w:type="paragraph" w:styleId="918" w:customStyle="1">
    <w:name w:val="标题 91"/>
    <w:basedOn w:val="864"/>
    <w:next w:val="864"/>
    <w:link w:val="930"/>
    <w:uiPriority w:val="0"/>
    <w:qFormat/>
    <w:pPr>
      <w:keepLines/>
      <w:keepNext/>
      <w:spacing w:before="320" w:after="200"/>
      <w:outlineLvl w:val="8"/>
    </w:pPr>
    <w:rPr>
      <w:rFonts w:ascii="Arial" w:hAnsi="Arial" w:eastAsia="Arial" w:cs="Arial"/>
      <w:i/>
      <w:iCs/>
      <w:szCs w:val="21"/>
    </w:rPr>
  </w:style>
  <w:style w:type="character" w:styleId="919" w:customStyle="1">
    <w:name w:val="默认段落字体1"/>
    <w:uiPriority w:val="1"/>
    <w:qFormat/>
  </w:style>
  <w:style w:type="table" w:styleId="920" w:customStyle="1">
    <w:name w:val="普通表格1"/>
    <w:uiPriority w:val="99"/>
    <w:qFormat/>
    <w:tblPr>
      <w:tblCellMar>
        <w:left w:w="0" w:type="dxa"/>
        <w:top w:w="0" w:type="dxa"/>
        <w:right w:w="0" w:type="dxa"/>
        <w:bottom w:w="0" w:type="dxa"/>
      </w:tblCellMar>
    </w:tblPr>
  </w:style>
  <w:style w:type="character" w:styleId="921" w:customStyle="1">
    <w:name w:val="标题 1 字符"/>
    <w:link w:val="904"/>
    <w:uiPriority w:val="0"/>
    <w:qFormat/>
    <w:rPr>
      <w:rFonts w:ascii="Arial" w:hAnsi="Arial" w:eastAsia="Arial" w:cs="Arial"/>
      <w:sz w:val="40"/>
      <w:szCs w:val="40"/>
    </w:rPr>
  </w:style>
  <w:style w:type="character" w:styleId="922" w:customStyle="1">
    <w:name w:val="标题 2 字符"/>
    <w:link w:val="905"/>
    <w:uiPriority w:val="0"/>
    <w:qFormat/>
    <w:rPr>
      <w:rFonts w:ascii="Arial" w:hAnsi="Arial" w:eastAsia="Arial" w:cs="Arial"/>
      <w:sz w:val="34"/>
    </w:rPr>
  </w:style>
  <w:style w:type="character" w:styleId="923" w:customStyle="1">
    <w:name w:val="正文缩进 字符"/>
    <w:link w:val="906"/>
    <w:uiPriority w:val="0"/>
    <w:qFormat/>
    <w:rPr>
      <w:rFonts w:ascii="宋体" w:hAnsi="Calibri"/>
      <w:color w:val="000000"/>
      <w:sz w:val="24"/>
    </w:rPr>
  </w:style>
  <w:style w:type="character" w:styleId="924" w:customStyle="1">
    <w:name w:val="标题 3 字符"/>
    <w:link w:val="907"/>
    <w:uiPriority w:val="0"/>
    <w:qFormat/>
    <w:rPr>
      <w:rFonts w:ascii="Arial" w:hAnsi="Arial" w:eastAsia="Arial" w:cs="Arial"/>
      <w:sz w:val="30"/>
      <w:szCs w:val="30"/>
    </w:rPr>
  </w:style>
  <w:style w:type="character" w:styleId="925" w:customStyle="1">
    <w:name w:val="标题 4 字符"/>
    <w:link w:val="913"/>
    <w:uiPriority w:val="0"/>
    <w:qFormat/>
    <w:rPr>
      <w:rFonts w:ascii="Arial" w:hAnsi="Arial" w:eastAsia="Arial" w:cs="Arial"/>
      <w:b/>
      <w:bCs/>
      <w:sz w:val="26"/>
      <w:szCs w:val="26"/>
    </w:rPr>
  </w:style>
  <w:style w:type="character" w:styleId="926" w:customStyle="1">
    <w:name w:val="标题 5 字符"/>
    <w:link w:val="914"/>
    <w:uiPriority w:val="0"/>
    <w:qFormat/>
    <w:rPr>
      <w:rFonts w:ascii="Arial" w:hAnsi="Arial" w:eastAsia="Arial" w:cs="Arial"/>
      <w:b/>
      <w:bCs/>
      <w:sz w:val="24"/>
      <w:szCs w:val="24"/>
    </w:rPr>
  </w:style>
  <w:style w:type="character" w:styleId="927" w:customStyle="1">
    <w:name w:val="标题 6 字符"/>
    <w:link w:val="915"/>
    <w:uiPriority w:val="0"/>
    <w:qFormat/>
    <w:rPr>
      <w:rFonts w:ascii="Arial" w:hAnsi="Arial" w:eastAsia="Arial" w:cs="Arial"/>
      <w:b/>
      <w:bCs/>
      <w:sz w:val="22"/>
      <w:szCs w:val="22"/>
    </w:rPr>
  </w:style>
  <w:style w:type="character" w:styleId="928" w:customStyle="1">
    <w:name w:val="标题 7 字符"/>
    <w:link w:val="916"/>
    <w:uiPriority w:val="0"/>
    <w:qFormat/>
    <w:rPr>
      <w:rFonts w:ascii="Arial" w:hAnsi="Arial" w:eastAsia="Arial" w:cs="Arial"/>
      <w:b/>
      <w:bCs/>
      <w:i/>
      <w:iCs/>
      <w:sz w:val="22"/>
      <w:szCs w:val="22"/>
    </w:rPr>
  </w:style>
  <w:style w:type="character" w:styleId="929" w:customStyle="1">
    <w:name w:val="标题 8 字符"/>
    <w:link w:val="917"/>
    <w:uiPriority w:val="0"/>
    <w:qFormat/>
    <w:rPr>
      <w:rFonts w:ascii="Arial" w:hAnsi="Arial" w:eastAsia="Arial" w:cs="Arial"/>
      <w:i/>
      <w:iCs/>
      <w:sz w:val="22"/>
      <w:szCs w:val="22"/>
    </w:rPr>
  </w:style>
  <w:style w:type="character" w:styleId="930" w:customStyle="1">
    <w:name w:val="标题 9 字符"/>
    <w:link w:val="918"/>
    <w:uiPriority w:val="0"/>
    <w:qFormat/>
    <w:rPr>
      <w:rFonts w:ascii="Arial" w:hAnsi="Arial" w:eastAsia="Arial" w:cs="Arial"/>
      <w:i/>
      <w:iCs/>
      <w:sz w:val="21"/>
      <w:szCs w:val="21"/>
    </w:rPr>
  </w:style>
  <w:style w:type="paragraph" w:styleId="931" w:customStyle="1">
    <w:name w:val="列表 31"/>
    <w:basedOn w:val="864"/>
    <w:uiPriority w:val="0"/>
    <w:qFormat/>
    <w:pPr>
      <w:ind w:left="100" w:hanging="200"/>
    </w:pPr>
    <w:rPr>
      <w:rFonts w:ascii="Times New Roman" w:hAnsi="Times New Roman"/>
      <w:szCs w:val="21"/>
    </w:rPr>
  </w:style>
  <w:style w:type="paragraph" w:styleId="932" w:customStyle="1">
    <w:name w:val="目录 71"/>
    <w:basedOn w:val="864"/>
    <w:next w:val="864"/>
    <w:uiPriority w:val="0"/>
    <w:qFormat/>
    <w:pPr>
      <w:ind w:left="1701"/>
      <w:spacing w:after="57"/>
    </w:pPr>
  </w:style>
  <w:style w:type="paragraph" w:styleId="933" w:customStyle="1">
    <w:name w:val="题注1"/>
    <w:basedOn w:val="864"/>
    <w:next w:val="864"/>
    <w:uiPriority w:val="35"/>
    <w:qFormat/>
    <w:pPr>
      <w:spacing w:line="276" w:lineRule="auto"/>
    </w:pPr>
    <w:rPr>
      <w:b/>
      <w:bCs/>
      <w:color w:val="5b9bd5"/>
      <w:sz w:val="18"/>
      <w:szCs w:val="18"/>
    </w:rPr>
  </w:style>
  <w:style w:type="paragraph" w:styleId="934" w:customStyle="1">
    <w:name w:val="文档结构图1"/>
    <w:basedOn w:val="864"/>
    <w:link w:val="935"/>
    <w:uiPriority w:val="0"/>
    <w:qFormat/>
    <w:pPr>
      <w:shd w:val="clear" w:color="auto" w:fill="000080"/>
    </w:pPr>
    <w:rPr>
      <w:rFonts w:ascii="Times New Roman" w:hAnsi="Times New Roman"/>
      <w:szCs w:val="21"/>
    </w:rPr>
  </w:style>
  <w:style w:type="character" w:styleId="935" w:customStyle="1">
    <w:name w:val="文档结构图 字符"/>
    <w:link w:val="934"/>
    <w:uiPriority w:val="0"/>
    <w:qFormat/>
    <w:rPr>
      <w:sz w:val="21"/>
      <w:szCs w:val="21"/>
      <w:shd w:val="clear" w:color="auto" w:fill="000080"/>
    </w:rPr>
  </w:style>
  <w:style w:type="paragraph" w:styleId="936" w:customStyle="1">
    <w:name w:val="批注文字1"/>
    <w:basedOn w:val="864"/>
    <w:link w:val="937"/>
    <w:uiPriority w:val="0"/>
    <w:qFormat/>
    <w:pPr>
      <w:jc w:val="left"/>
    </w:pPr>
    <w:rPr>
      <w:rFonts w:ascii="Times New Roman" w:hAnsi="Times New Roman"/>
      <w:szCs w:val="21"/>
    </w:rPr>
  </w:style>
  <w:style w:type="character" w:styleId="937" w:customStyle="1">
    <w:name w:val="批注文字 字符"/>
    <w:link w:val="936"/>
    <w:uiPriority w:val="0"/>
    <w:qFormat/>
    <w:rPr>
      <w:sz w:val="21"/>
      <w:szCs w:val="21"/>
    </w:rPr>
  </w:style>
  <w:style w:type="paragraph" w:styleId="938" w:customStyle="1">
    <w:name w:val="正文文本 31"/>
    <w:basedOn w:val="864"/>
    <w:link w:val="939"/>
    <w:uiPriority w:val="0"/>
    <w:qFormat/>
    <w:rPr>
      <w:rFonts w:ascii="仿宋_GB2312" w:hAnsi="Arial" w:eastAsia="仿宋_GB2312"/>
      <w:sz w:val="32"/>
      <w:szCs w:val="32"/>
    </w:rPr>
  </w:style>
  <w:style w:type="character" w:styleId="939" w:customStyle="1">
    <w:name w:val="正文文本 3 字符"/>
    <w:link w:val="938"/>
    <w:uiPriority w:val="0"/>
    <w:qFormat/>
    <w:rPr>
      <w:rFonts w:ascii="仿宋_GB2312" w:hAnsi="Arial" w:eastAsia="仿宋_GB2312"/>
      <w:sz w:val="32"/>
      <w:szCs w:val="32"/>
    </w:rPr>
  </w:style>
  <w:style w:type="paragraph" w:styleId="940" w:customStyle="1">
    <w:name w:val="正文文本11"/>
    <w:basedOn w:val="864"/>
    <w:uiPriority w:val="0"/>
    <w:qFormat/>
    <w:rPr>
      <w:rFonts w:ascii="仿宋" w:hAnsi="仿宋" w:eastAsia="仿宋" w:cs="仿宋"/>
      <w:sz w:val="32"/>
      <w:szCs w:val="32"/>
      <w:lang w:eastAsia="en-US"/>
    </w:rPr>
  </w:style>
  <w:style w:type="paragraph" w:styleId="941" w:customStyle="1">
    <w:name w:val="正文文本缩进11"/>
    <w:basedOn w:val="864"/>
    <w:link w:val="942"/>
    <w:uiPriority w:val="0"/>
    <w:qFormat/>
    <w:pPr>
      <w:ind w:firstLine="225"/>
    </w:pPr>
    <w:rPr>
      <w:rFonts w:ascii="仿宋_GB2312" w:eastAsia="仿宋_GB2312"/>
      <w:sz w:val="32"/>
    </w:rPr>
  </w:style>
  <w:style w:type="character" w:styleId="942" w:customStyle="1">
    <w:name w:val="正文文本缩进 字符1"/>
    <w:link w:val="941"/>
    <w:uiPriority w:val="0"/>
    <w:qFormat/>
    <w:rPr>
      <w:rFonts w:ascii="仿宋_GB2312" w:hAnsi="Calibri" w:eastAsia="仿宋_GB2312"/>
      <w:sz w:val="32"/>
      <w:szCs w:val="22"/>
    </w:rPr>
  </w:style>
  <w:style w:type="paragraph" w:styleId="943" w:customStyle="1">
    <w:name w:val="列表 21"/>
    <w:basedOn w:val="864"/>
    <w:uiPriority w:val="0"/>
    <w:qFormat/>
    <w:pPr>
      <w:ind w:left="100" w:hanging="200"/>
    </w:pPr>
    <w:rPr>
      <w:rFonts w:ascii="Times New Roman" w:hAnsi="Times New Roman"/>
      <w:szCs w:val="21"/>
    </w:rPr>
  </w:style>
  <w:style w:type="paragraph" w:styleId="944" w:customStyle="1">
    <w:name w:val="目录 51"/>
    <w:basedOn w:val="864"/>
    <w:next w:val="864"/>
    <w:uiPriority w:val="0"/>
    <w:qFormat/>
    <w:pPr>
      <w:ind w:left="1134"/>
      <w:spacing w:after="57"/>
    </w:pPr>
  </w:style>
  <w:style w:type="paragraph" w:styleId="945" w:customStyle="1">
    <w:name w:val="目录 31"/>
    <w:basedOn w:val="864"/>
    <w:next w:val="864"/>
    <w:uiPriority w:val="0"/>
    <w:qFormat/>
    <w:pPr>
      <w:ind w:left="567"/>
      <w:spacing w:after="57"/>
    </w:pPr>
  </w:style>
  <w:style w:type="paragraph" w:styleId="946" w:customStyle="1">
    <w:name w:val="纯文本11"/>
    <w:basedOn w:val="864"/>
    <w:link w:val="947"/>
    <w:uiPriority w:val="0"/>
    <w:qFormat/>
    <w:rPr>
      <w:rFonts w:ascii="宋体" w:hAnsi="Courier New" w:cs="Courier New"/>
      <w:szCs w:val="21"/>
    </w:rPr>
  </w:style>
  <w:style w:type="character" w:styleId="947" w:customStyle="1">
    <w:name w:val="纯文本 字符"/>
    <w:link w:val="946"/>
    <w:uiPriority w:val="0"/>
    <w:qFormat/>
    <w:rPr>
      <w:rFonts w:ascii="宋体" w:hAnsi="Courier New" w:cs="Courier New"/>
      <w:sz w:val="21"/>
      <w:szCs w:val="21"/>
    </w:rPr>
  </w:style>
  <w:style w:type="paragraph" w:styleId="948" w:customStyle="1">
    <w:name w:val="目录 81"/>
    <w:basedOn w:val="864"/>
    <w:next w:val="864"/>
    <w:uiPriority w:val="0"/>
    <w:qFormat/>
    <w:pPr>
      <w:ind w:left="1984"/>
      <w:spacing w:after="57"/>
    </w:pPr>
  </w:style>
  <w:style w:type="paragraph" w:styleId="949" w:customStyle="1">
    <w:name w:val="日期1"/>
    <w:basedOn w:val="864"/>
    <w:next w:val="864"/>
    <w:link w:val="950"/>
    <w:uiPriority w:val="0"/>
    <w:qFormat/>
    <w:rPr>
      <w:rFonts w:ascii="Times New Roman" w:hAnsi="Times New Roman"/>
      <w:sz w:val="24"/>
      <w:szCs w:val="24"/>
    </w:rPr>
  </w:style>
  <w:style w:type="character" w:styleId="950" w:customStyle="1">
    <w:name w:val="日期 字符"/>
    <w:link w:val="949"/>
    <w:uiPriority w:val="0"/>
    <w:qFormat/>
    <w:rPr>
      <w:sz w:val="24"/>
      <w:szCs w:val="24"/>
    </w:rPr>
  </w:style>
  <w:style w:type="paragraph" w:styleId="951" w:customStyle="1">
    <w:name w:val="正文文本缩进 21"/>
    <w:basedOn w:val="864"/>
    <w:link w:val="952"/>
    <w:uiPriority w:val="0"/>
    <w:qFormat/>
    <w:pPr>
      <w:ind w:left="630" w:firstLine="645"/>
    </w:pPr>
    <w:rPr>
      <w:rFonts w:ascii="Arial" w:hAnsi="Arial" w:eastAsia="仿宋_GB2312" w:cs="Arial"/>
      <w:sz w:val="32"/>
      <w:szCs w:val="32"/>
    </w:rPr>
  </w:style>
  <w:style w:type="character" w:styleId="952" w:customStyle="1">
    <w:name w:val="正文文本缩进 2 字符"/>
    <w:link w:val="951"/>
    <w:uiPriority w:val="0"/>
    <w:qFormat/>
    <w:rPr>
      <w:rFonts w:ascii="Arial" w:hAnsi="Arial" w:eastAsia="仿宋_GB2312" w:cs="Arial"/>
      <w:sz w:val="32"/>
      <w:szCs w:val="32"/>
    </w:rPr>
  </w:style>
  <w:style w:type="paragraph" w:styleId="953" w:customStyle="1">
    <w:name w:val="尾注文本1"/>
    <w:basedOn w:val="864"/>
    <w:link w:val="954"/>
    <w:uiPriority w:val="99"/>
    <w:qFormat/>
    <w:rPr>
      <w:sz w:val="20"/>
    </w:rPr>
  </w:style>
  <w:style w:type="character" w:styleId="954" w:customStyle="1">
    <w:name w:val="尾注文本 字符"/>
    <w:link w:val="953"/>
    <w:uiPriority w:val="99"/>
    <w:qFormat/>
    <w:rPr>
      <w:sz w:val="20"/>
    </w:rPr>
  </w:style>
  <w:style w:type="paragraph" w:styleId="955" w:customStyle="1">
    <w:name w:val="批注框文本1"/>
    <w:basedOn w:val="864"/>
    <w:link w:val="956"/>
    <w:uiPriority w:val="0"/>
    <w:qFormat/>
    <w:rPr>
      <w:rFonts w:ascii="Times New Roman" w:hAnsi="Times New Roman"/>
      <w:sz w:val="18"/>
      <w:szCs w:val="18"/>
    </w:rPr>
  </w:style>
  <w:style w:type="character" w:styleId="956" w:customStyle="1">
    <w:name w:val="批注框文本 字符"/>
    <w:link w:val="955"/>
    <w:uiPriority w:val="0"/>
    <w:qFormat/>
    <w:rPr>
      <w:sz w:val="18"/>
      <w:szCs w:val="18"/>
    </w:rPr>
  </w:style>
  <w:style w:type="paragraph" w:styleId="957" w:customStyle="1">
    <w:name w:val="页脚11"/>
    <w:basedOn w:val="864"/>
    <w:link w:val="958"/>
    <w:uiPriority w:val="99"/>
    <w:qFormat/>
    <w:pPr>
      <w:jc w:val="left"/>
      <w:tabs>
        <w:tab w:val="center" w:pos="4153" w:leader="none"/>
        <w:tab w:val="right" w:pos="8306" w:leader="none"/>
      </w:tabs>
    </w:pPr>
    <w:rPr>
      <w:sz w:val="18"/>
      <w:szCs w:val="18"/>
    </w:rPr>
  </w:style>
  <w:style w:type="character" w:styleId="958" w:customStyle="1">
    <w:name w:val="页脚 字符"/>
    <w:link w:val="957"/>
    <w:uiPriority w:val="99"/>
    <w:qFormat/>
  </w:style>
  <w:style w:type="paragraph" w:styleId="959" w:customStyle="1">
    <w:name w:val="页眉1"/>
    <w:basedOn w:val="864"/>
    <w:link w:val="960"/>
    <w:uiPriority w:val="0"/>
    <w:qFormat/>
    <w:pPr>
      <w:jc w:val="center"/>
      <w:tabs>
        <w:tab w:val="center" w:pos="4153" w:leader="none"/>
        <w:tab w:val="right" w:pos="8306" w:leader="none"/>
      </w:tabs>
    </w:pPr>
    <w:rPr>
      <w:sz w:val="18"/>
      <w:szCs w:val="18"/>
    </w:rPr>
  </w:style>
  <w:style w:type="character" w:styleId="960" w:customStyle="1">
    <w:name w:val="页眉 字符"/>
    <w:link w:val="959"/>
    <w:uiPriority w:val="0"/>
    <w:qFormat/>
    <w:rPr>
      <w:rFonts w:ascii="Calibri" w:hAnsi="Calibri"/>
      <w:sz w:val="18"/>
      <w:szCs w:val="18"/>
    </w:rPr>
  </w:style>
  <w:style w:type="paragraph" w:styleId="961" w:customStyle="1">
    <w:name w:val="目录 11"/>
    <w:basedOn w:val="864"/>
    <w:next w:val="864"/>
    <w:uiPriority w:val="0"/>
    <w:qFormat/>
    <w:pPr>
      <w:jc w:val="left"/>
      <w:spacing w:before="120" w:after="120"/>
    </w:pPr>
    <w:rPr>
      <w:rFonts w:cs="Calibri"/>
      <w:b/>
      <w:bCs/>
      <w:caps/>
      <w:sz w:val="20"/>
      <w:szCs w:val="20"/>
    </w:rPr>
  </w:style>
  <w:style w:type="paragraph" w:styleId="962" w:customStyle="1">
    <w:name w:val="目录 41"/>
    <w:basedOn w:val="864"/>
    <w:next w:val="864"/>
    <w:uiPriority w:val="0"/>
    <w:qFormat/>
    <w:pPr>
      <w:ind w:left="850"/>
      <w:spacing w:after="57"/>
    </w:pPr>
  </w:style>
  <w:style w:type="paragraph" w:styleId="963" w:customStyle="1">
    <w:name w:val="副标题1"/>
    <w:basedOn w:val="864"/>
    <w:next w:val="864"/>
    <w:link w:val="964"/>
    <w:uiPriority w:val="11"/>
    <w:qFormat/>
    <w:pPr>
      <w:spacing w:before="200" w:after="200"/>
    </w:pPr>
    <w:rPr>
      <w:sz w:val="24"/>
      <w:szCs w:val="24"/>
    </w:rPr>
  </w:style>
  <w:style w:type="character" w:styleId="964" w:customStyle="1">
    <w:name w:val="副标题 字符"/>
    <w:link w:val="963"/>
    <w:uiPriority w:val="11"/>
    <w:qFormat/>
    <w:rPr>
      <w:sz w:val="24"/>
      <w:szCs w:val="24"/>
    </w:rPr>
  </w:style>
  <w:style w:type="paragraph" w:styleId="965" w:customStyle="1">
    <w:name w:val="列表1"/>
    <w:basedOn w:val="864"/>
    <w:uiPriority w:val="0"/>
    <w:qFormat/>
    <w:pPr>
      <w:ind w:left="200" w:hanging="200"/>
    </w:pPr>
    <w:rPr>
      <w:rFonts w:ascii="Times New Roman" w:hAnsi="Times New Roman"/>
      <w:szCs w:val="21"/>
    </w:rPr>
  </w:style>
  <w:style w:type="paragraph" w:styleId="966" w:customStyle="1">
    <w:name w:val="脚注文本11"/>
    <w:basedOn w:val="864"/>
    <w:link w:val="967"/>
    <w:uiPriority w:val="99"/>
    <w:qFormat/>
    <w:pPr>
      <w:spacing w:after="40"/>
    </w:pPr>
    <w:rPr>
      <w:sz w:val="18"/>
    </w:rPr>
  </w:style>
  <w:style w:type="character" w:styleId="967" w:customStyle="1">
    <w:name w:val="脚注文本 字符"/>
    <w:link w:val="966"/>
    <w:uiPriority w:val="99"/>
    <w:qFormat/>
    <w:rPr>
      <w:sz w:val="18"/>
    </w:rPr>
  </w:style>
  <w:style w:type="paragraph" w:styleId="968" w:customStyle="1">
    <w:name w:val="目录 61"/>
    <w:basedOn w:val="864"/>
    <w:next w:val="864"/>
    <w:uiPriority w:val="0"/>
    <w:qFormat/>
    <w:pPr>
      <w:ind w:left="1417"/>
      <w:spacing w:after="57"/>
    </w:pPr>
  </w:style>
  <w:style w:type="paragraph" w:styleId="969" w:customStyle="1">
    <w:name w:val="正文文本缩进 31"/>
    <w:basedOn w:val="864"/>
    <w:link w:val="970"/>
    <w:uiPriority w:val="0"/>
    <w:qFormat/>
    <w:pPr>
      <w:ind w:left="645" w:firstLine="645"/>
    </w:pPr>
    <w:rPr>
      <w:rFonts w:ascii="Arial" w:hAnsi="Arial" w:eastAsia="仿宋_GB2312" w:cs="Arial"/>
      <w:color w:val="ffff00"/>
      <w:sz w:val="32"/>
      <w:szCs w:val="32"/>
    </w:rPr>
  </w:style>
  <w:style w:type="character" w:styleId="970" w:customStyle="1">
    <w:name w:val="正文文本缩进 3 字符"/>
    <w:link w:val="969"/>
    <w:uiPriority w:val="0"/>
    <w:qFormat/>
    <w:rPr>
      <w:rFonts w:ascii="Arial" w:hAnsi="Arial" w:eastAsia="仿宋_GB2312" w:cs="Arial"/>
      <w:color w:val="ffff00"/>
      <w:sz w:val="32"/>
      <w:szCs w:val="32"/>
    </w:rPr>
  </w:style>
  <w:style w:type="paragraph" w:styleId="971" w:customStyle="1">
    <w:name w:val="图表目录1"/>
    <w:basedOn w:val="864"/>
    <w:next w:val="864"/>
    <w:uiPriority w:val="0"/>
    <w:qFormat/>
  </w:style>
  <w:style w:type="paragraph" w:styleId="972" w:customStyle="1">
    <w:name w:val="目录 21"/>
    <w:basedOn w:val="864"/>
    <w:next w:val="864"/>
    <w:uiPriority w:val="0"/>
    <w:qFormat/>
    <w:pPr>
      <w:ind w:left="210"/>
      <w:jc w:val="left"/>
    </w:pPr>
    <w:rPr>
      <w:rFonts w:cs="Calibri"/>
      <w:smallCaps/>
      <w:sz w:val="20"/>
      <w:szCs w:val="20"/>
    </w:rPr>
  </w:style>
  <w:style w:type="paragraph" w:styleId="973" w:customStyle="1">
    <w:name w:val="目录 91"/>
    <w:basedOn w:val="864"/>
    <w:next w:val="864"/>
    <w:uiPriority w:val="0"/>
    <w:qFormat/>
    <w:pPr>
      <w:ind w:left="2268"/>
      <w:spacing w:after="57"/>
    </w:pPr>
  </w:style>
  <w:style w:type="paragraph" w:styleId="974" w:customStyle="1">
    <w:name w:val="正文文本 21"/>
    <w:basedOn w:val="864"/>
    <w:link w:val="975"/>
    <w:uiPriority w:val="0"/>
    <w:qFormat/>
    <w:pPr>
      <w:jc w:val="center"/>
      <w:widowControl/>
    </w:pPr>
    <w:rPr>
      <w:rFonts w:ascii="楷体_GB2312" w:hAnsi="Times New Roman" w:eastAsia="楷体_GB2312"/>
      <w:sz w:val="28"/>
      <w:szCs w:val="28"/>
    </w:rPr>
  </w:style>
  <w:style w:type="character" w:styleId="975" w:customStyle="1">
    <w:name w:val="正文文本 2 字符"/>
    <w:link w:val="974"/>
    <w:uiPriority w:val="0"/>
    <w:qFormat/>
    <w:rPr>
      <w:rFonts w:ascii="楷体_GB2312" w:eastAsia="楷体_GB2312"/>
      <w:sz w:val="28"/>
      <w:szCs w:val="28"/>
    </w:rPr>
  </w:style>
  <w:style w:type="paragraph" w:styleId="976" w:customStyle="1">
    <w:name w:val="HTML 预设格式1"/>
    <w:basedOn w:val="864"/>
    <w:link w:val="97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77" w:customStyle="1">
    <w:name w:val="HTML 预设格式 字符"/>
    <w:link w:val="976"/>
    <w:uiPriority w:val="99"/>
    <w:qFormat/>
    <w:rPr>
      <w:rFonts w:ascii="宋体" w:hAnsi="宋体"/>
      <w:sz w:val="24"/>
      <w:szCs w:val="24"/>
    </w:rPr>
  </w:style>
  <w:style w:type="paragraph" w:styleId="978" w:customStyle="1">
    <w:name w:val="普通(网站)111"/>
    <w:basedOn w:val="864"/>
    <w:uiPriority w:val="99"/>
    <w:qFormat/>
    <w:pPr>
      <w:jc w:val="left"/>
      <w:spacing w:before="100" w:beforeAutospacing="1" w:after="100" w:afterAutospacing="1"/>
      <w:widowControl/>
    </w:pPr>
    <w:rPr>
      <w:rFonts w:ascii="宋体" w:hAnsi="宋体" w:cs="宋体"/>
      <w:sz w:val="24"/>
      <w:szCs w:val="24"/>
    </w:rPr>
  </w:style>
  <w:style w:type="paragraph" w:styleId="979" w:customStyle="1">
    <w:name w:val="索引 11"/>
    <w:basedOn w:val="864"/>
    <w:next w:val="864"/>
    <w:uiPriority w:val="0"/>
    <w:qFormat/>
    <w:pPr>
      <w:spacing w:line="240" w:lineRule="atLeast"/>
    </w:pPr>
    <w:rPr>
      <w:rFonts w:ascii="Times New Roman" w:hAnsi="Times New Roman"/>
      <w:b/>
      <w:bCs/>
      <w:szCs w:val="21"/>
    </w:rPr>
  </w:style>
  <w:style w:type="paragraph" w:styleId="980" w:customStyle="1">
    <w:name w:val="标题11"/>
    <w:basedOn w:val="864"/>
    <w:next w:val="864"/>
    <w:link w:val="981"/>
    <w:uiPriority w:val="10"/>
    <w:qFormat/>
    <w:pPr>
      <w:contextualSpacing/>
      <w:spacing w:before="300" w:after="200"/>
    </w:pPr>
    <w:rPr>
      <w:sz w:val="48"/>
      <w:szCs w:val="48"/>
    </w:rPr>
  </w:style>
  <w:style w:type="character" w:styleId="981" w:customStyle="1">
    <w:name w:val="标题 字符"/>
    <w:link w:val="980"/>
    <w:uiPriority w:val="10"/>
    <w:qFormat/>
    <w:rPr>
      <w:sz w:val="48"/>
      <w:szCs w:val="48"/>
    </w:rPr>
  </w:style>
  <w:style w:type="paragraph" w:styleId="982" w:customStyle="1">
    <w:name w:val="批注主题1"/>
    <w:basedOn w:val="936"/>
    <w:next w:val="936"/>
    <w:link w:val="983"/>
    <w:uiPriority w:val="0"/>
    <w:qFormat/>
    <w:rPr>
      <w:b/>
      <w:bCs/>
    </w:rPr>
  </w:style>
  <w:style w:type="character" w:styleId="983" w:customStyle="1">
    <w:name w:val="批注主题 字符"/>
    <w:link w:val="982"/>
    <w:uiPriority w:val="0"/>
    <w:qFormat/>
    <w:rPr>
      <w:b/>
      <w:bCs/>
      <w:sz w:val="21"/>
      <w:szCs w:val="21"/>
    </w:rPr>
  </w:style>
  <w:style w:type="paragraph" w:styleId="984" w:customStyle="1">
    <w:name w:val="正文首行缩进 211"/>
    <w:basedOn w:val="941"/>
    <w:link w:val="985"/>
    <w:uiPriority w:val="0"/>
    <w:qFormat/>
    <w:pPr>
      <w:ind w:firstLine="420"/>
      <w:spacing w:line="360" w:lineRule="auto"/>
    </w:pPr>
    <w:rPr>
      <w:rFonts w:ascii="宋体" w:hAnsi="宋体" w:eastAsia="宋体"/>
      <w:sz w:val="21"/>
      <w:szCs w:val="20"/>
    </w:rPr>
  </w:style>
  <w:style w:type="character" w:styleId="985" w:customStyle="1">
    <w:name w:val="正文文本首行缩进 2 字符"/>
    <w:link w:val="984"/>
    <w:uiPriority w:val="0"/>
    <w:qFormat/>
    <w:rPr>
      <w:rFonts w:ascii="宋体" w:hAnsi="宋体" w:eastAsia="仿宋_GB2312"/>
      <w:sz w:val="21"/>
      <w:szCs w:val="22"/>
    </w:rPr>
  </w:style>
  <w:style w:type="table" w:styleId="986" w:customStyle="1">
    <w:name w:val="网格型1"/>
    <w:basedOn w:val="920"/>
    <w:uiPriority w:val="0"/>
    <w:qFormat/>
    <w:pPr>
      <w:jc w:val="both"/>
      <w:widowControl w:val="off"/>
    </w:pPr>
    <w:tblPr/>
  </w:style>
  <w:style w:type="character" w:styleId="987" w:customStyle="1">
    <w:name w:val="要点1"/>
    <w:uiPriority w:val="0"/>
    <w:qFormat/>
    <w:rPr>
      <w:b/>
      <w:bCs/>
    </w:rPr>
  </w:style>
  <w:style w:type="character" w:styleId="988" w:customStyle="1">
    <w:name w:val="尾注引用1"/>
    <w:uiPriority w:val="99"/>
    <w:qFormat/>
    <w:rPr>
      <w:vertAlign w:val="superscript"/>
    </w:rPr>
  </w:style>
  <w:style w:type="character" w:styleId="989" w:customStyle="1">
    <w:name w:val="页码11"/>
    <w:uiPriority w:val="0"/>
    <w:qFormat/>
  </w:style>
  <w:style w:type="character" w:styleId="990" w:customStyle="1">
    <w:name w:val="已访问的超链接1"/>
    <w:uiPriority w:val="0"/>
    <w:qFormat/>
    <w:rPr>
      <w:color w:val="800080"/>
      <w:u w:val="single"/>
    </w:rPr>
  </w:style>
  <w:style w:type="character" w:styleId="991" w:customStyle="1">
    <w:name w:val="超链接1"/>
    <w:uiPriority w:val="0"/>
    <w:qFormat/>
    <w:rPr>
      <w:color w:val="0000ff"/>
      <w:u w:val="single"/>
    </w:rPr>
  </w:style>
  <w:style w:type="character" w:styleId="992" w:customStyle="1">
    <w:name w:val="批注引用1"/>
    <w:uiPriority w:val="0"/>
    <w:qFormat/>
    <w:rPr>
      <w:sz w:val="21"/>
      <w:szCs w:val="21"/>
    </w:rPr>
  </w:style>
  <w:style w:type="character" w:styleId="993" w:customStyle="1">
    <w:name w:val="脚注引用1"/>
    <w:uiPriority w:val="99"/>
    <w:qFormat/>
    <w:rPr>
      <w:vertAlign w:val="superscript"/>
    </w:rPr>
  </w:style>
  <w:style w:type="paragraph" w:styleId="994" w:customStyle="1">
    <w:name w:val="正文首行缩进 21"/>
    <w:basedOn w:val="995"/>
    <w:next w:val="864"/>
    <w:uiPriority w:val="0"/>
    <w:qFormat/>
    <w:pPr>
      <w:ind w:firstLine="420"/>
      <w:spacing w:line="360" w:lineRule="auto"/>
    </w:pPr>
    <w:rPr>
      <w:rFonts w:ascii="宋体" w:hAnsi="宋体" w:eastAsia="宋体"/>
      <w:sz w:val="21"/>
      <w:szCs w:val="20"/>
    </w:rPr>
  </w:style>
  <w:style w:type="paragraph" w:styleId="995" w:customStyle="1">
    <w:name w:val="正文文本缩进1"/>
    <w:basedOn w:val="864"/>
    <w:next w:val="996"/>
    <w:uiPriority w:val="0"/>
    <w:qFormat/>
    <w:pPr>
      <w:ind w:firstLine="645"/>
    </w:pPr>
    <w:rPr>
      <w:rFonts w:ascii="楷体_GB2312" w:eastAsia="楷体_GB2312"/>
      <w:sz w:val="32"/>
      <w:szCs w:val="32"/>
    </w:rPr>
  </w:style>
  <w:style w:type="paragraph" w:styleId="996" w:customStyle="1">
    <w:name w:val="寄信人地址1"/>
    <w:basedOn w:val="864"/>
    <w:uiPriority w:val="0"/>
    <w:qFormat/>
    <w:rPr>
      <w:rFonts w:ascii="Arial" w:hAnsi="Arial"/>
    </w:rPr>
  </w:style>
  <w:style w:type="paragraph" w:styleId="997" w:customStyle="1">
    <w:name w:val="标题 41"/>
    <w:basedOn w:val="998"/>
    <w:next w:val="86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98" w:customStyle="1">
    <w:name w:val="Normal_20"/>
    <w:next w:val="999"/>
    <w:uiPriority w:val="0"/>
    <w:qFormat/>
    <w:rPr>
      <w:rFonts w:ascii="黑体" w:hAnsi="黑体" w:eastAsia="黑体" w:cs="黑体"/>
      <w:b/>
      <w:sz w:val="32"/>
      <w:szCs w:val="24"/>
      <w:lang w:val="en-US" w:eastAsia="zh-CN" w:bidi="ar-SA"/>
    </w:rPr>
  </w:style>
  <w:style w:type="paragraph" w:styleId="999" w:customStyle="1">
    <w:name w:val="Body Text First Indent_2"/>
    <w:basedOn w:val="998"/>
    <w:uiPriority w:val="0"/>
    <w:qFormat/>
    <w:pPr>
      <w:ind w:firstLine="100"/>
      <w:spacing w:after="120"/>
    </w:pPr>
  </w:style>
  <w:style w:type="paragraph" w:styleId="1000" w:customStyle="1">
    <w:name w:val="脚注文本1"/>
    <w:basedOn w:val="864"/>
    <w:uiPriority w:val="0"/>
    <w:qFormat/>
    <w:pPr>
      <w:jc w:val="left"/>
    </w:pPr>
    <w:rPr>
      <w:rFonts w:eastAsia="Times New Roman"/>
      <w:sz w:val="18"/>
      <w:szCs w:val="24"/>
    </w:rPr>
  </w:style>
  <w:style w:type="table" w:styleId="1001" w:customStyle="1">
    <w:name w:val="无格式表格 11"/>
    <w:basedOn w:val="920"/>
    <w:uiPriority w:val="59"/>
    <w:qFormat/>
    <w:tblPr/>
  </w:style>
  <w:style w:type="table" w:styleId="1002" w:customStyle="1">
    <w:name w:val="无格式表格 21"/>
    <w:basedOn w:val="920"/>
    <w:uiPriority w:val="59"/>
    <w:qFormat/>
    <w:tblPr/>
  </w:style>
  <w:style w:type="table" w:styleId="1003" w:customStyle="1">
    <w:name w:val="无格式表格 31"/>
    <w:basedOn w:val="920"/>
    <w:uiPriority w:val="99"/>
    <w:qFormat/>
    <w:tblPr/>
  </w:style>
  <w:style w:type="table" w:styleId="1004" w:customStyle="1">
    <w:name w:val="无格式表格 41"/>
    <w:basedOn w:val="920"/>
    <w:uiPriority w:val="99"/>
    <w:qFormat/>
    <w:tblPr/>
  </w:style>
  <w:style w:type="table" w:styleId="1005" w:customStyle="1">
    <w:name w:val="无格式表格 51"/>
    <w:basedOn w:val="920"/>
    <w:uiPriority w:val="99"/>
    <w:qFormat/>
    <w:tblPr/>
  </w:style>
  <w:style w:type="table" w:styleId="1006" w:customStyle="1">
    <w:name w:val="网格表 1 浅色1"/>
    <w:basedOn w:val="920"/>
    <w:uiPriority w:val="99"/>
    <w:qFormat/>
    <w:tblPr/>
  </w:style>
  <w:style w:type="table" w:styleId="1007" w:customStyle="1">
    <w:name w:val="网格表 21"/>
    <w:basedOn w:val="920"/>
    <w:uiPriority w:val="99"/>
    <w:qFormat/>
    <w:tblPr/>
  </w:style>
  <w:style w:type="table" w:styleId="1008" w:customStyle="1">
    <w:name w:val="网格表 31"/>
    <w:basedOn w:val="920"/>
    <w:uiPriority w:val="99"/>
    <w:qFormat/>
    <w:tblPr/>
  </w:style>
  <w:style w:type="table" w:styleId="1009" w:customStyle="1">
    <w:name w:val="网格表 41"/>
    <w:basedOn w:val="920"/>
    <w:uiPriority w:val="59"/>
    <w:qFormat/>
    <w:tblPr/>
  </w:style>
  <w:style w:type="table" w:styleId="1010" w:customStyle="1">
    <w:name w:val="网格表 5 深色1"/>
    <w:basedOn w:val="920"/>
    <w:uiPriority w:val="99"/>
    <w:qFormat/>
    <w:tblPr/>
  </w:style>
  <w:style w:type="table" w:styleId="1011" w:customStyle="1">
    <w:name w:val="网格表 6 彩色1"/>
    <w:basedOn w:val="920"/>
    <w:uiPriority w:val="99"/>
    <w:qFormat/>
    <w:tblPr/>
  </w:style>
  <w:style w:type="table" w:styleId="1012" w:customStyle="1">
    <w:name w:val="网格表 7 彩色1"/>
    <w:basedOn w:val="920"/>
    <w:uiPriority w:val="99"/>
    <w:qFormat/>
    <w:tblPr/>
  </w:style>
  <w:style w:type="table" w:styleId="1013" w:customStyle="1">
    <w:name w:val="清单表 1 浅色1"/>
    <w:basedOn w:val="920"/>
    <w:uiPriority w:val="99"/>
    <w:qFormat/>
    <w:tblPr/>
  </w:style>
  <w:style w:type="table" w:styleId="1014" w:customStyle="1">
    <w:name w:val="清单表 21"/>
    <w:basedOn w:val="920"/>
    <w:uiPriority w:val="99"/>
    <w:qFormat/>
    <w:tblPr/>
  </w:style>
  <w:style w:type="table" w:styleId="1015" w:customStyle="1">
    <w:name w:val="清单表 31"/>
    <w:basedOn w:val="920"/>
    <w:uiPriority w:val="99"/>
    <w:qFormat/>
    <w:tblPr/>
  </w:style>
  <w:style w:type="table" w:styleId="1016" w:customStyle="1">
    <w:name w:val="清单表 41"/>
    <w:basedOn w:val="920"/>
    <w:uiPriority w:val="99"/>
    <w:qFormat/>
    <w:tblPr/>
  </w:style>
  <w:style w:type="table" w:styleId="1017" w:customStyle="1">
    <w:name w:val="清单表 5 深色1"/>
    <w:basedOn w:val="920"/>
    <w:uiPriority w:val="99"/>
    <w:qFormat/>
    <w:tblPr/>
  </w:style>
  <w:style w:type="table" w:styleId="1018" w:customStyle="1">
    <w:name w:val="清单表 6 彩色1"/>
    <w:basedOn w:val="920"/>
    <w:uiPriority w:val="99"/>
    <w:qFormat/>
    <w:tblPr/>
  </w:style>
  <w:style w:type="table" w:styleId="1019" w:customStyle="1">
    <w:name w:val="清单表 7 彩色1"/>
    <w:basedOn w:val="920"/>
    <w:uiPriority w:val="99"/>
    <w:qFormat/>
    <w:tblPr/>
  </w:style>
  <w:style w:type="paragraph" w:styleId="1020" w:customStyle="1">
    <w:name w:val="TOC 标题1"/>
    <w:uiPriority w:val="39"/>
    <w:qFormat/>
    <w:rPr>
      <w:rFonts w:ascii="Times New Roman" w:hAnsi="Times New Roman" w:eastAsia="宋体" w:cs="Times New Roman"/>
      <w:lang w:val="en-US" w:eastAsia="zh-CN" w:bidi="ar-SA"/>
    </w:rPr>
  </w:style>
  <w:style w:type="paragraph" w:styleId="1021" w:customStyle="1">
    <w:name w:val="TOC 标题111"/>
    <w:uiPriority w:val="39"/>
    <w:qFormat/>
    <w:rPr>
      <w:rFonts w:ascii="Times New Roman" w:hAnsi="Times New Roman" w:eastAsia="宋体" w:cs="Times New Roman"/>
      <w:lang w:val="en-US" w:eastAsia="zh-CN" w:bidi="ar-SA"/>
    </w:rPr>
  </w:style>
  <w:style w:type="paragraph" w:styleId="1022" w:customStyle="1">
    <w:name w:val="Normal_21"/>
    <w:basedOn w:val="1023"/>
    <w:next w:val="1023"/>
    <w:uiPriority w:val="0"/>
    <w:qFormat/>
    <w:rPr>
      <w:rFonts w:ascii="Times New Roman" w:hAnsi="Times New Roman"/>
      <w:szCs w:val="24"/>
    </w:rPr>
  </w:style>
  <w:style w:type="paragraph" w:styleId="1023"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24" w:customStyle="1">
    <w:name w:val="正文_17"/>
    <w:next w:val="1025"/>
    <w:uiPriority w:val="0"/>
    <w:qFormat/>
    <w:pPr>
      <w:jc w:val="both"/>
      <w:widowControl w:val="off"/>
    </w:pPr>
    <w:rPr>
      <w:rFonts w:ascii="Times New Roman" w:hAnsi="Times New Roman" w:eastAsia="宋体" w:cs="Times New Roman"/>
      <w:sz w:val="21"/>
      <w:szCs w:val="22"/>
      <w:lang w:val="en-US" w:eastAsia="zh-CN" w:bidi="ar-SA"/>
    </w:rPr>
  </w:style>
  <w:style w:type="paragraph" w:styleId="1025" w:customStyle="1">
    <w:name w:val="标题 4_1"/>
    <w:basedOn w:val="1024"/>
    <w:next w:val="1024"/>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1026" w:customStyle="1">
    <w:name w:val="Heading 1 Char_a5278ce2-2c5e-446c-b9cf-2ba9b7887ff5"/>
    <w:uiPriority w:val="9"/>
    <w:qFormat/>
    <w:rPr>
      <w:rFonts w:ascii="Arial" w:hAnsi="Arial" w:eastAsia="Arial" w:cs="Arial"/>
      <w:sz w:val="40"/>
      <w:szCs w:val="40"/>
    </w:rPr>
  </w:style>
  <w:style w:type="character" w:styleId="1027" w:customStyle="1">
    <w:name w:val="Heading 2 Char_ef0c09cd-f7e1-4e46-b437-c4faf4e39c07"/>
    <w:uiPriority w:val="9"/>
    <w:qFormat/>
    <w:rPr>
      <w:rFonts w:ascii="Arial" w:hAnsi="Arial" w:eastAsia="Arial" w:cs="Arial"/>
      <w:sz w:val="34"/>
    </w:rPr>
  </w:style>
  <w:style w:type="character" w:styleId="1028" w:customStyle="1">
    <w:name w:val="Heading 3 Char_bd13924e-c27c-40aa-b057-e5c8aea9ea08"/>
    <w:uiPriority w:val="9"/>
    <w:qFormat/>
    <w:rPr>
      <w:rFonts w:ascii="Arial" w:hAnsi="Arial" w:eastAsia="Arial" w:cs="Arial"/>
      <w:sz w:val="30"/>
      <w:szCs w:val="30"/>
    </w:rPr>
  </w:style>
  <w:style w:type="character" w:styleId="1029" w:customStyle="1">
    <w:name w:val="Heading 4 Char_a24bb6f0-fdc6-4cc5-ba32-fbbcd558a508"/>
    <w:uiPriority w:val="9"/>
    <w:qFormat/>
    <w:rPr>
      <w:rFonts w:ascii="Arial" w:hAnsi="Arial" w:eastAsia="Arial" w:cs="Arial"/>
      <w:b/>
      <w:bCs/>
      <w:sz w:val="26"/>
      <w:szCs w:val="26"/>
    </w:rPr>
  </w:style>
  <w:style w:type="character" w:styleId="1030" w:customStyle="1">
    <w:name w:val="Heading 5 Char_edfa274b-6fb0-4cee-a711-ab784df40d4e"/>
    <w:uiPriority w:val="9"/>
    <w:qFormat/>
    <w:rPr>
      <w:rFonts w:ascii="Arial" w:hAnsi="Arial" w:eastAsia="Arial" w:cs="Arial"/>
      <w:b/>
      <w:bCs/>
      <w:sz w:val="24"/>
      <w:szCs w:val="24"/>
    </w:rPr>
  </w:style>
  <w:style w:type="character" w:styleId="1031" w:customStyle="1">
    <w:name w:val="Heading 6 Char_1067c17d-8a07-41e1-95e7-00fb862f5da9"/>
    <w:uiPriority w:val="9"/>
    <w:qFormat/>
    <w:rPr>
      <w:rFonts w:ascii="Arial" w:hAnsi="Arial" w:eastAsia="Arial" w:cs="Arial"/>
      <w:b/>
      <w:bCs/>
      <w:sz w:val="22"/>
      <w:szCs w:val="22"/>
    </w:rPr>
  </w:style>
  <w:style w:type="character" w:styleId="1032" w:customStyle="1">
    <w:name w:val="Heading 7 Char_0fa2d063-b77c-42a5-9bf8-a939cc35f027"/>
    <w:uiPriority w:val="9"/>
    <w:qFormat/>
    <w:rPr>
      <w:rFonts w:ascii="Arial" w:hAnsi="Arial" w:eastAsia="Arial" w:cs="Arial"/>
      <w:b/>
      <w:bCs/>
      <w:i/>
      <w:iCs/>
      <w:sz w:val="22"/>
      <w:szCs w:val="22"/>
    </w:rPr>
  </w:style>
  <w:style w:type="character" w:styleId="1033" w:customStyle="1">
    <w:name w:val="Heading 8 Char_38182d96-6591-4eba-a9ba-b55f94e8bb66"/>
    <w:uiPriority w:val="9"/>
    <w:qFormat/>
    <w:rPr>
      <w:rFonts w:ascii="Arial" w:hAnsi="Arial" w:eastAsia="Arial" w:cs="Arial"/>
      <w:i/>
      <w:iCs/>
      <w:sz w:val="22"/>
      <w:szCs w:val="22"/>
    </w:rPr>
  </w:style>
  <w:style w:type="character" w:styleId="1034" w:customStyle="1">
    <w:name w:val="Heading 9 Char_1cb964ed-dd14-436b-b5d2-7c0412851c26"/>
    <w:uiPriority w:val="9"/>
    <w:qFormat/>
    <w:rPr>
      <w:rFonts w:ascii="Arial" w:hAnsi="Arial" w:eastAsia="Arial" w:cs="Arial"/>
      <w:i/>
      <w:iCs/>
      <w:sz w:val="21"/>
      <w:szCs w:val="21"/>
    </w:rPr>
  </w:style>
  <w:style w:type="character" w:styleId="1035" w:customStyle="1">
    <w:name w:val="Title Char_aa4920a3-3046-4176-a05d-b208d29fd099"/>
    <w:uiPriority w:val="10"/>
    <w:qFormat/>
    <w:rPr>
      <w:sz w:val="48"/>
      <w:szCs w:val="48"/>
    </w:rPr>
  </w:style>
  <w:style w:type="character" w:styleId="1036" w:customStyle="1">
    <w:name w:val="Subtitle Char"/>
    <w:uiPriority w:val="11"/>
    <w:qFormat/>
    <w:rPr>
      <w:sz w:val="24"/>
      <w:szCs w:val="24"/>
    </w:rPr>
  </w:style>
  <w:style w:type="character" w:styleId="1037" w:customStyle="1">
    <w:name w:val="Quote Char_8aa679bb-ddfb-4124-831e-36c16f4e9779"/>
    <w:uiPriority w:val="29"/>
    <w:qFormat/>
    <w:rPr>
      <w:i/>
    </w:rPr>
  </w:style>
  <w:style w:type="character" w:styleId="1038" w:customStyle="1">
    <w:name w:val="Intense Quote Char_1c903896-f858-4fa9-9fa6-50f6a6cbdee7"/>
    <w:uiPriority w:val="30"/>
    <w:qFormat/>
    <w:rPr>
      <w:i/>
    </w:rPr>
  </w:style>
  <w:style w:type="character" w:styleId="1039" w:customStyle="1">
    <w:name w:val="Caption Char"/>
    <w:uiPriority w:val="99"/>
    <w:qFormat/>
  </w:style>
  <w:style w:type="character" w:styleId="1040" w:customStyle="1">
    <w:name w:val="Footnote Text Char"/>
    <w:uiPriority w:val="99"/>
    <w:qFormat/>
    <w:rPr>
      <w:sz w:val="18"/>
    </w:rPr>
  </w:style>
  <w:style w:type="character" w:styleId="1041" w:customStyle="1">
    <w:name w:val="Endnote Text Char"/>
    <w:uiPriority w:val="99"/>
    <w:qFormat/>
    <w:rPr>
      <w:sz w:val="20"/>
    </w:rPr>
  </w:style>
  <w:style w:type="paragraph" w:styleId="1042" w:customStyle="1">
    <w:name w:val="列表段落1"/>
    <w:basedOn w:val="864"/>
    <w:uiPriority w:val="0"/>
    <w:qFormat/>
    <w:pPr>
      <w:contextualSpacing/>
      <w:ind w:left="720"/>
    </w:pPr>
  </w:style>
  <w:style w:type="paragraph" w:styleId="1043" w:customStyle="1">
    <w:name w:val="无间隔1"/>
    <w:uiPriority w:val="99"/>
    <w:qFormat/>
    <w:rPr>
      <w:rFonts w:ascii="Times New Roman" w:hAnsi="Times New Roman" w:eastAsia="宋体" w:cs="Times New Roman"/>
      <w:lang w:val="en-US" w:eastAsia="zh-CN" w:bidi="ar-SA"/>
    </w:rPr>
  </w:style>
  <w:style w:type="paragraph" w:styleId="1044" w:customStyle="1">
    <w:name w:val="引用1"/>
    <w:basedOn w:val="864"/>
    <w:next w:val="864"/>
    <w:link w:val="1045"/>
    <w:uiPriority w:val="29"/>
    <w:qFormat/>
    <w:pPr>
      <w:ind w:left="720" w:right="720"/>
    </w:pPr>
    <w:rPr>
      <w:i/>
    </w:rPr>
  </w:style>
  <w:style w:type="character" w:styleId="1045" w:customStyle="1">
    <w:name w:val="引用 字符"/>
    <w:link w:val="1044"/>
    <w:uiPriority w:val="29"/>
    <w:qFormat/>
    <w:rPr>
      <w:i/>
    </w:rPr>
  </w:style>
  <w:style w:type="paragraph" w:styleId="1046" w:customStyle="1">
    <w:name w:val="明显引用1"/>
    <w:basedOn w:val="864"/>
    <w:next w:val="864"/>
    <w:link w:val="10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7" w:customStyle="1">
    <w:name w:val="明显引用 字符"/>
    <w:link w:val="1046"/>
    <w:uiPriority w:val="30"/>
    <w:qFormat/>
    <w:rPr>
      <w:i/>
    </w:rPr>
  </w:style>
  <w:style w:type="character" w:styleId="1048" w:customStyle="1">
    <w:name w:val="Header Char_4352f0ea-4fe8-43f5-8e30-3501095e79ef"/>
    <w:uiPriority w:val="99"/>
    <w:qFormat/>
  </w:style>
  <w:style w:type="character" w:styleId="1049" w:customStyle="1">
    <w:name w:val="Footer Char_7328ef96-ec6d-4652-9c21-bb1f4c595298"/>
    <w:uiPriority w:val="99"/>
    <w:qFormat/>
  </w:style>
  <w:style w:type="table" w:styleId="1050" w:customStyle="1">
    <w:name w:val="Table Grid Light"/>
    <w:basedOn w:val="920"/>
    <w:uiPriority w:val="59"/>
    <w:qFormat/>
    <w:tblPr/>
  </w:style>
  <w:style w:type="table" w:styleId="1051" w:customStyle="1">
    <w:name w:val="Grid Table 1 Light - Accent 1"/>
    <w:basedOn w:val="920"/>
    <w:uiPriority w:val="99"/>
    <w:qFormat/>
    <w:tblPr/>
  </w:style>
  <w:style w:type="table" w:styleId="1052" w:customStyle="1">
    <w:name w:val="Grid Table 1 Light - Accent 2"/>
    <w:basedOn w:val="920"/>
    <w:uiPriority w:val="99"/>
    <w:qFormat/>
    <w:tblPr/>
  </w:style>
  <w:style w:type="table" w:styleId="1053" w:customStyle="1">
    <w:name w:val="Grid Table 1 Light - Accent 3"/>
    <w:basedOn w:val="920"/>
    <w:uiPriority w:val="99"/>
    <w:qFormat/>
    <w:tblPr/>
  </w:style>
  <w:style w:type="table" w:styleId="1054" w:customStyle="1">
    <w:name w:val="Grid Table 1 Light - Accent 4"/>
    <w:basedOn w:val="920"/>
    <w:uiPriority w:val="99"/>
    <w:qFormat/>
    <w:tblPr/>
  </w:style>
  <w:style w:type="table" w:styleId="1055" w:customStyle="1">
    <w:name w:val="Grid Table 1 Light - Accent 5"/>
    <w:basedOn w:val="920"/>
    <w:uiPriority w:val="99"/>
    <w:qFormat/>
    <w:tblPr/>
  </w:style>
  <w:style w:type="table" w:styleId="1056" w:customStyle="1">
    <w:name w:val="Grid Table 1 Light - Accent 6"/>
    <w:basedOn w:val="920"/>
    <w:uiPriority w:val="99"/>
    <w:qFormat/>
    <w:tblPr/>
  </w:style>
  <w:style w:type="table" w:styleId="1057" w:customStyle="1">
    <w:name w:val="Grid Table 2 - Accent 1"/>
    <w:basedOn w:val="920"/>
    <w:uiPriority w:val="99"/>
    <w:qFormat/>
    <w:tblPr/>
  </w:style>
  <w:style w:type="table" w:styleId="1058" w:customStyle="1">
    <w:name w:val="Grid Table 2 - Accent 2"/>
    <w:basedOn w:val="920"/>
    <w:uiPriority w:val="99"/>
    <w:qFormat/>
    <w:tblPr/>
  </w:style>
  <w:style w:type="table" w:styleId="1059" w:customStyle="1">
    <w:name w:val="Grid Table 2 - Accent 3"/>
    <w:basedOn w:val="920"/>
    <w:uiPriority w:val="99"/>
    <w:qFormat/>
    <w:tblPr/>
  </w:style>
  <w:style w:type="table" w:styleId="1060" w:customStyle="1">
    <w:name w:val="Grid Table 2 - Accent 4"/>
    <w:basedOn w:val="920"/>
    <w:uiPriority w:val="99"/>
    <w:qFormat/>
    <w:tblPr/>
  </w:style>
  <w:style w:type="table" w:styleId="1061" w:customStyle="1">
    <w:name w:val="Grid Table 2 - Accent 5"/>
    <w:basedOn w:val="920"/>
    <w:uiPriority w:val="99"/>
    <w:qFormat/>
    <w:tblPr/>
  </w:style>
  <w:style w:type="table" w:styleId="1062" w:customStyle="1">
    <w:name w:val="Grid Table 2 - Accent 6"/>
    <w:basedOn w:val="920"/>
    <w:uiPriority w:val="99"/>
    <w:qFormat/>
    <w:tblPr/>
  </w:style>
  <w:style w:type="table" w:styleId="1063" w:customStyle="1">
    <w:name w:val="Grid Table 3 - Accent 1"/>
    <w:basedOn w:val="920"/>
    <w:uiPriority w:val="99"/>
    <w:qFormat/>
    <w:tblPr/>
  </w:style>
  <w:style w:type="table" w:styleId="1064" w:customStyle="1">
    <w:name w:val="Grid Table 3 - Accent 2"/>
    <w:basedOn w:val="920"/>
    <w:uiPriority w:val="99"/>
    <w:qFormat/>
    <w:tblPr/>
  </w:style>
  <w:style w:type="table" w:styleId="1065" w:customStyle="1">
    <w:name w:val="Grid Table 3 - Accent 3"/>
    <w:basedOn w:val="920"/>
    <w:uiPriority w:val="99"/>
    <w:qFormat/>
    <w:tblPr/>
  </w:style>
  <w:style w:type="table" w:styleId="1066" w:customStyle="1">
    <w:name w:val="Grid Table 3 - Accent 4"/>
    <w:basedOn w:val="920"/>
    <w:uiPriority w:val="99"/>
    <w:qFormat/>
    <w:tblPr/>
  </w:style>
  <w:style w:type="table" w:styleId="1067" w:customStyle="1">
    <w:name w:val="Grid Table 3 - Accent 5"/>
    <w:basedOn w:val="920"/>
    <w:uiPriority w:val="99"/>
    <w:qFormat/>
    <w:tblPr/>
  </w:style>
  <w:style w:type="table" w:styleId="1068" w:customStyle="1">
    <w:name w:val="Grid Table 3 - Accent 6"/>
    <w:basedOn w:val="920"/>
    <w:uiPriority w:val="99"/>
    <w:qFormat/>
    <w:tblPr/>
  </w:style>
  <w:style w:type="table" w:styleId="1069" w:customStyle="1">
    <w:name w:val="Grid Table 4 - Accent 1"/>
    <w:basedOn w:val="920"/>
    <w:uiPriority w:val="59"/>
    <w:qFormat/>
    <w:tblPr/>
  </w:style>
  <w:style w:type="table" w:styleId="1070" w:customStyle="1">
    <w:name w:val="Grid Table 4 - Accent 2"/>
    <w:basedOn w:val="920"/>
    <w:uiPriority w:val="59"/>
    <w:qFormat/>
    <w:tblPr/>
  </w:style>
  <w:style w:type="table" w:styleId="1071" w:customStyle="1">
    <w:name w:val="Grid Table 4 - Accent 3"/>
    <w:basedOn w:val="920"/>
    <w:uiPriority w:val="59"/>
    <w:qFormat/>
    <w:tblPr/>
  </w:style>
  <w:style w:type="table" w:styleId="1072" w:customStyle="1">
    <w:name w:val="Grid Table 4 - Accent 4"/>
    <w:basedOn w:val="920"/>
    <w:uiPriority w:val="59"/>
    <w:qFormat/>
    <w:tblPr/>
  </w:style>
  <w:style w:type="table" w:styleId="1073" w:customStyle="1">
    <w:name w:val="Grid Table 4 - Accent 5"/>
    <w:basedOn w:val="920"/>
    <w:uiPriority w:val="59"/>
    <w:qFormat/>
    <w:tblPr/>
  </w:style>
  <w:style w:type="table" w:styleId="1074" w:customStyle="1">
    <w:name w:val="Grid Table 4 - Accent 6"/>
    <w:basedOn w:val="920"/>
    <w:uiPriority w:val="59"/>
    <w:qFormat/>
    <w:tblPr/>
  </w:style>
  <w:style w:type="table" w:styleId="1075" w:customStyle="1">
    <w:name w:val="Grid Table 5 Dark- Accent 1"/>
    <w:basedOn w:val="920"/>
    <w:uiPriority w:val="99"/>
    <w:qFormat/>
    <w:tblPr/>
  </w:style>
  <w:style w:type="table" w:styleId="1076" w:customStyle="1">
    <w:name w:val="Grid Table 5 Dark - Accent 2"/>
    <w:basedOn w:val="920"/>
    <w:uiPriority w:val="99"/>
    <w:qFormat/>
    <w:tblPr/>
  </w:style>
  <w:style w:type="table" w:styleId="1077" w:customStyle="1">
    <w:name w:val="Grid Table 5 Dark - Accent 3"/>
    <w:basedOn w:val="920"/>
    <w:uiPriority w:val="99"/>
    <w:qFormat/>
    <w:tblPr/>
  </w:style>
  <w:style w:type="table" w:styleId="1078" w:customStyle="1">
    <w:name w:val="Grid Table 5 Dark- Accent 4"/>
    <w:basedOn w:val="920"/>
    <w:uiPriority w:val="99"/>
    <w:qFormat/>
    <w:tblPr/>
  </w:style>
  <w:style w:type="table" w:styleId="1079" w:customStyle="1">
    <w:name w:val="Grid Table 5 Dark - Accent 5"/>
    <w:basedOn w:val="920"/>
    <w:uiPriority w:val="99"/>
    <w:qFormat/>
    <w:tblPr/>
  </w:style>
  <w:style w:type="table" w:styleId="1080" w:customStyle="1">
    <w:name w:val="Grid Table 5 Dark - Accent 6"/>
    <w:basedOn w:val="920"/>
    <w:uiPriority w:val="99"/>
    <w:qFormat/>
    <w:tblPr/>
  </w:style>
  <w:style w:type="table" w:styleId="1081" w:customStyle="1">
    <w:name w:val="Grid Table 6 Colorful - Accent 1"/>
    <w:basedOn w:val="920"/>
    <w:uiPriority w:val="99"/>
    <w:qFormat/>
    <w:tblPr/>
  </w:style>
  <w:style w:type="table" w:styleId="1082" w:customStyle="1">
    <w:name w:val="Grid Table 6 Colorful - Accent 2"/>
    <w:basedOn w:val="920"/>
    <w:uiPriority w:val="99"/>
    <w:qFormat/>
    <w:tblPr/>
  </w:style>
  <w:style w:type="table" w:styleId="1083" w:customStyle="1">
    <w:name w:val="Grid Table 6 Colorful - Accent 3"/>
    <w:basedOn w:val="920"/>
    <w:uiPriority w:val="99"/>
    <w:qFormat/>
    <w:tblPr/>
  </w:style>
  <w:style w:type="table" w:styleId="1084" w:customStyle="1">
    <w:name w:val="Grid Table 6 Colorful - Accent 4"/>
    <w:basedOn w:val="920"/>
    <w:uiPriority w:val="99"/>
    <w:qFormat/>
    <w:tblPr/>
  </w:style>
  <w:style w:type="table" w:styleId="1085" w:customStyle="1">
    <w:name w:val="Grid Table 6 Colorful - Accent 5"/>
    <w:basedOn w:val="920"/>
    <w:uiPriority w:val="99"/>
    <w:qFormat/>
    <w:tblPr/>
  </w:style>
  <w:style w:type="table" w:styleId="1086" w:customStyle="1">
    <w:name w:val="Grid Table 6 Colorful - Accent 6"/>
    <w:basedOn w:val="920"/>
    <w:uiPriority w:val="99"/>
    <w:qFormat/>
    <w:tblPr/>
  </w:style>
  <w:style w:type="table" w:styleId="1087" w:customStyle="1">
    <w:name w:val="Grid Table 7 Colorful - Accent 1"/>
    <w:basedOn w:val="920"/>
    <w:uiPriority w:val="99"/>
    <w:qFormat/>
    <w:tblPr/>
  </w:style>
  <w:style w:type="table" w:styleId="1088" w:customStyle="1">
    <w:name w:val="Grid Table 7 Colorful - Accent 2"/>
    <w:basedOn w:val="920"/>
    <w:uiPriority w:val="99"/>
    <w:qFormat/>
    <w:tblPr/>
  </w:style>
  <w:style w:type="table" w:styleId="1089" w:customStyle="1">
    <w:name w:val="Grid Table 7 Colorful - Accent 3"/>
    <w:basedOn w:val="920"/>
    <w:uiPriority w:val="99"/>
    <w:qFormat/>
    <w:tblPr/>
  </w:style>
  <w:style w:type="table" w:styleId="1090" w:customStyle="1">
    <w:name w:val="Grid Table 7 Colorful - Accent 4"/>
    <w:basedOn w:val="920"/>
    <w:uiPriority w:val="99"/>
    <w:qFormat/>
    <w:tblPr/>
  </w:style>
  <w:style w:type="table" w:styleId="1091" w:customStyle="1">
    <w:name w:val="Grid Table 7 Colorful - Accent 5"/>
    <w:basedOn w:val="920"/>
    <w:uiPriority w:val="99"/>
    <w:qFormat/>
    <w:tblPr/>
  </w:style>
  <w:style w:type="table" w:styleId="1092" w:customStyle="1">
    <w:name w:val="Grid Table 7 Colorful - Accent 6"/>
    <w:basedOn w:val="920"/>
    <w:uiPriority w:val="99"/>
    <w:qFormat/>
    <w:tblPr/>
  </w:style>
  <w:style w:type="table" w:styleId="1093" w:customStyle="1">
    <w:name w:val="List Table 1 Light - Accent 1"/>
    <w:basedOn w:val="920"/>
    <w:uiPriority w:val="99"/>
    <w:qFormat/>
    <w:tblPr/>
  </w:style>
  <w:style w:type="table" w:styleId="1094" w:customStyle="1">
    <w:name w:val="List Table 1 Light - Accent 2"/>
    <w:basedOn w:val="920"/>
    <w:uiPriority w:val="99"/>
    <w:qFormat/>
    <w:tblPr/>
  </w:style>
  <w:style w:type="table" w:styleId="1095" w:customStyle="1">
    <w:name w:val="List Table 1 Light - Accent 3"/>
    <w:basedOn w:val="920"/>
    <w:uiPriority w:val="99"/>
    <w:qFormat/>
    <w:tblPr/>
  </w:style>
  <w:style w:type="table" w:styleId="1096" w:customStyle="1">
    <w:name w:val="List Table 1 Light - Accent 4"/>
    <w:basedOn w:val="920"/>
    <w:uiPriority w:val="99"/>
    <w:qFormat/>
    <w:tblPr/>
  </w:style>
  <w:style w:type="table" w:styleId="1097" w:customStyle="1">
    <w:name w:val="List Table 1 Light - Accent 5"/>
    <w:basedOn w:val="920"/>
    <w:uiPriority w:val="99"/>
    <w:qFormat/>
    <w:tblPr/>
  </w:style>
  <w:style w:type="table" w:styleId="1098" w:customStyle="1">
    <w:name w:val="List Table 1 Light - Accent 6"/>
    <w:basedOn w:val="920"/>
    <w:uiPriority w:val="99"/>
    <w:qFormat/>
    <w:tblPr/>
  </w:style>
  <w:style w:type="table" w:styleId="1099" w:customStyle="1">
    <w:name w:val="List Table 2 - Accent 1"/>
    <w:basedOn w:val="920"/>
    <w:uiPriority w:val="99"/>
    <w:qFormat/>
    <w:tblPr/>
  </w:style>
  <w:style w:type="table" w:styleId="1100" w:customStyle="1">
    <w:name w:val="List Table 2 - Accent 2"/>
    <w:basedOn w:val="920"/>
    <w:uiPriority w:val="99"/>
    <w:qFormat/>
    <w:tblPr/>
  </w:style>
  <w:style w:type="table" w:styleId="1101" w:customStyle="1">
    <w:name w:val="List Table 2 - Accent 3"/>
    <w:basedOn w:val="920"/>
    <w:uiPriority w:val="99"/>
    <w:qFormat/>
    <w:tblPr/>
  </w:style>
  <w:style w:type="table" w:styleId="1102" w:customStyle="1">
    <w:name w:val="List Table 2 - Accent 4"/>
    <w:basedOn w:val="920"/>
    <w:uiPriority w:val="99"/>
    <w:qFormat/>
    <w:tblPr/>
  </w:style>
  <w:style w:type="table" w:styleId="1103" w:customStyle="1">
    <w:name w:val="List Table 2 - Accent 5"/>
    <w:basedOn w:val="920"/>
    <w:uiPriority w:val="99"/>
    <w:qFormat/>
    <w:tblPr/>
  </w:style>
  <w:style w:type="table" w:styleId="1104" w:customStyle="1">
    <w:name w:val="List Table 2 - Accent 6"/>
    <w:basedOn w:val="920"/>
    <w:uiPriority w:val="99"/>
    <w:qFormat/>
    <w:tblPr/>
  </w:style>
  <w:style w:type="table" w:styleId="1105" w:customStyle="1">
    <w:name w:val="List Table 3 - Accent 1"/>
    <w:basedOn w:val="920"/>
    <w:uiPriority w:val="99"/>
    <w:qFormat/>
    <w:tblPr/>
  </w:style>
  <w:style w:type="table" w:styleId="1106" w:customStyle="1">
    <w:name w:val="List Table 3 - Accent 2"/>
    <w:basedOn w:val="920"/>
    <w:uiPriority w:val="99"/>
    <w:qFormat/>
    <w:tblPr/>
  </w:style>
  <w:style w:type="table" w:styleId="1107" w:customStyle="1">
    <w:name w:val="List Table 3 - Accent 3"/>
    <w:basedOn w:val="920"/>
    <w:uiPriority w:val="99"/>
    <w:qFormat/>
    <w:tblPr/>
  </w:style>
  <w:style w:type="table" w:styleId="1108" w:customStyle="1">
    <w:name w:val="List Table 3 - Accent 4"/>
    <w:basedOn w:val="920"/>
    <w:uiPriority w:val="99"/>
    <w:qFormat/>
    <w:tblPr/>
  </w:style>
  <w:style w:type="table" w:styleId="1109" w:customStyle="1">
    <w:name w:val="List Table 3 - Accent 5"/>
    <w:basedOn w:val="920"/>
    <w:uiPriority w:val="99"/>
    <w:qFormat/>
    <w:tblPr/>
  </w:style>
  <w:style w:type="table" w:styleId="1110" w:customStyle="1">
    <w:name w:val="List Table 3 - Accent 6"/>
    <w:basedOn w:val="920"/>
    <w:uiPriority w:val="99"/>
    <w:qFormat/>
    <w:tblPr/>
  </w:style>
  <w:style w:type="table" w:styleId="1111" w:customStyle="1">
    <w:name w:val="List Table 4 - Accent 1"/>
    <w:basedOn w:val="920"/>
    <w:uiPriority w:val="99"/>
    <w:qFormat/>
    <w:tblPr/>
  </w:style>
  <w:style w:type="table" w:styleId="1112" w:customStyle="1">
    <w:name w:val="List Table 4 - Accent 2"/>
    <w:basedOn w:val="920"/>
    <w:uiPriority w:val="99"/>
    <w:qFormat/>
    <w:tblPr/>
  </w:style>
  <w:style w:type="table" w:styleId="1113" w:customStyle="1">
    <w:name w:val="List Table 4 - Accent 3"/>
    <w:basedOn w:val="920"/>
    <w:uiPriority w:val="99"/>
    <w:qFormat/>
    <w:tblPr/>
  </w:style>
  <w:style w:type="table" w:styleId="1114" w:customStyle="1">
    <w:name w:val="List Table 4 - Accent 4"/>
    <w:basedOn w:val="920"/>
    <w:uiPriority w:val="99"/>
    <w:qFormat/>
    <w:tblPr/>
  </w:style>
  <w:style w:type="table" w:styleId="1115" w:customStyle="1">
    <w:name w:val="List Table 4 - Accent 5"/>
    <w:basedOn w:val="920"/>
    <w:uiPriority w:val="99"/>
    <w:qFormat/>
    <w:tblPr/>
  </w:style>
  <w:style w:type="table" w:styleId="1116" w:customStyle="1">
    <w:name w:val="List Table 4 - Accent 6"/>
    <w:basedOn w:val="920"/>
    <w:uiPriority w:val="99"/>
    <w:qFormat/>
    <w:tblPr/>
  </w:style>
  <w:style w:type="table" w:styleId="1117" w:customStyle="1">
    <w:name w:val="List Table 5 Dark - Accent 1"/>
    <w:basedOn w:val="920"/>
    <w:uiPriority w:val="99"/>
    <w:qFormat/>
    <w:tblPr/>
  </w:style>
  <w:style w:type="table" w:styleId="1118" w:customStyle="1">
    <w:name w:val="List Table 5 Dark - Accent 2"/>
    <w:basedOn w:val="920"/>
    <w:uiPriority w:val="99"/>
    <w:qFormat/>
    <w:tblPr/>
  </w:style>
  <w:style w:type="table" w:styleId="1119" w:customStyle="1">
    <w:name w:val="List Table 5 Dark - Accent 3"/>
    <w:basedOn w:val="920"/>
    <w:uiPriority w:val="99"/>
    <w:qFormat/>
    <w:tblPr/>
  </w:style>
  <w:style w:type="table" w:styleId="1120" w:customStyle="1">
    <w:name w:val="List Table 5 Dark - Accent 4"/>
    <w:basedOn w:val="920"/>
    <w:uiPriority w:val="99"/>
    <w:qFormat/>
    <w:tblPr/>
  </w:style>
  <w:style w:type="table" w:styleId="1121" w:customStyle="1">
    <w:name w:val="List Table 5 Dark - Accent 5"/>
    <w:basedOn w:val="920"/>
    <w:uiPriority w:val="99"/>
    <w:qFormat/>
    <w:tblPr/>
  </w:style>
  <w:style w:type="table" w:styleId="1122" w:customStyle="1">
    <w:name w:val="List Table 5 Dark - Accent 6"/>
    <w:basedOn w:val="920"/>
    <w:uiPriority w:val="99"/>
    <w:qFormat/>
    <w:tblPr/>
  </w:style>
  <w:style w:type="table" w:styleId="1123" w:customStyle="1">
    <w:name w:val="List Table 6 Colorful - Accent 1"/>
    <w:basedOn w:val="920"/>
    <w:uiPriority w:val="99"/>
    <w:qFormat/>
    <w:tblPr/>
  </w:style>
  <w:style w:type="table" w:styleId="1124" w:customStyle="1">
    <w:name w:val="List Table 6 Colorful - Accent 2"/>
    <w:basedOn w:val="920"/>
    <w:uiPriority w:val="99"/>
    <w:qFormat/>
    <w:tblPr/>
  </w:style>
  <w:style w:type="table" w:styleId="1125" w:customStyle="1">
    <w:name w:val="List Table 6 Colorful - Accent 3"/>
    <w:basedOn w:val="920"/>
    <w:uiPriority w:val="99"/>
    <w:qFormat/>
    <w:tblPr/>
  </w:style>
  <w:style w:type="table" w:styleId="1126" w:customStyle="1">
    <w:name w:val="List Table 6 Colorful - Accent 4"/>
    <w:basedOn w:val="920"/>
    <w:uiPriority w:val="99"/>
    <w:qFormat/>
    <w:tblPr/>
  </w:style>
  <w:style w:type="table" w:styleId="1127" w:customStyle="1">
    <w:name w:val="List Table 6 Colorful - Accent 5"/>
    <w:basedOn w:val="920"/>
    <w:uiPriority w:val="99"/>
    <w:qFormat/>
    <w:tblPr/>
  </w:style>
  <w:style w:type="table" w:styleId="1128" w:customStyle="1">
    <w:name w:val="List Table 6 Colorful - Accent 6"/>
    <w:basedOn w:val="920"/>
    <w:uiPriority w:val="99"/>
    <w:qFormat/>
    <w:tblPr/>
  </w:style>
  <w:style w:type="table" w:styleId="1129" w:customStyle="1">
    <w:name w:val="List Table 7 Colorful - Accent 1"/>
    <w:basedOn w:val="920"/>
    <w:uiPriority w:val="99"/>
    <w:qFormat/>
    <w:tblPr/>
  </w:style>
  <w:style w:type="table" w:styleId="1130" w:customStyle="1">
    <w:name w:val="List Table 7 Colorful - Accent 2"/>
    <w:basedOn w:val="920"/>
    <w:uiPriority w:val="99"/>
    <w:qFormat/>
    <w:tblPr/>
  </w:style>
  <w:style w:type="table" w:styleId="1131" w:customStyle="1">
    <w:name w:val="List Table 7 Colorful - Accent 3"/>
    <w:basedOn w:val="920"/>
    <w:uiPriority w:val="99"/>
    <w:qFormat/>
    <w:tblPr/>
  </w:style>
  <w:style w:type="table" w:styleId="1132" w:customStyle="1">
    <w:name w:val="List Table 7 Colorful - Accent 4"/>
    <w:basedOn w:val="920"/>
    <w:uiPriority w:val="99"/>
    <w:qFormat/>
    <w:tblPr/>
  </w:style>
  <w:style w:type="table" w:styleId="1133" w:customStyle="1">
    <w:name w:val="List Table 7 Colorful - Accent 5"/>
    <w:basedOn w:val="920"/>
    <w:uiPriority w:val="99"/>
    <w:qFormat/>
    <w:tblPr/>
  </w:style>
  <w:style w:type="table" w:styleId="1134" w:customStyle="1">
    <w:name w:val="List Table 7 Colorful - Accent 6"/>
    <w:basedOn w:val="920"/>
    <w:uiPriority w:val="99"/>
    <w:qFormat/>
    <w:tblPr/>
  </w:style>
  <w:style w:type="table" w:styleId="1135" w:customStyle="1">
    <w:name w:val="Lined - Accent"/>
    <w:basedOn w:val="920"/>
    <w:uiPriority w:val="99"/>
    <w:qFormat/>
    <w:rPr>
      <w:color w:val="404040"/>
    </w:rPr>
    <w:tblPr/>
  </w:style>
  <w:style w:type="table" w:styleId="1136" w:customStyle="1">
    <w:name w:val="Lined - Accent 1"/>
    <w:basedOn w:val="920"/>
    <w:uiPriority w:val="99"/>
    <w:qFormat/>
    <w:rPr>
      <w:color w:val="404040"/>
    </w:rPr>
    <w:tblPr/>
  </w:style>
  <w:style w:type="table" w:styleId="1137" w:customStyle="1">
    <w:name w:val="Lined - Accent 2"/>
    <w:basedOn w:val="920"/>
    <w:uiPriority w:val="99"/>
    <w:qFormat/>
    <w:rPr>
      <w:color w:val="404040"/>
    </w:rPr>
    <w:tblPr/>
  </w:style>
  <w:style w:type="table" w:styleId="1138" w:customStyle="1">
    <w:name w:val="Lined - Accent 3"/>
    <w:basedOn w:val="920"/>
    <w:uiPriority w:val="99"/>
    <w:qFormat/>
    <w:rPr>
      <w:color w:val="404040"/>
    </w:rPr>
    <w:tblPr/>
  </w:style>
  <w:style w:type="table" w:styleId="1139" w:customStyle="1">
    <w:name w:val="Lined - Accent 4"/>
    <w:basedOn w:val="920"/>
    <w:uiPriority w:val="99"/>
    <w:qFormat/>
    <w:rPr>
      <w:color w:val="404040"/>
    </w:rPr>
    <w:tblPr/>
  </w:style>
  <w:style w:type="table" w:styleId="1140" w:customStyle="1">
    <w:name w:val="Lined - Accent 5"/>
    <w:basedOn w:val="920"/>
    <w:uiPriority w:val="99"/>
    <w:qFormat/>
    <w:rPr>
      <w:color w:val="404040"/>
    </w:rPr>
    <w:tblPr/>
  </w:style>
  <w:style w:type="table" w:styleId="1141" w:customStyle="1">
    <w:name w:val="Lined - Accent 6"/>
    <w:basedOn w:val="920"/>
    <w:uiPriority w:val="99"/>
    <w:qFormat/>
    <w:rPr>
      <w:color w:val="404040"/>
    </w:rPr>
    <w:tblPr/>
  </w:style>
  <w:style w:type="table" w:styleId="1142" w:customStyle="1">
    <w:name w:val="Bordered &amp; Lined - Accent"/>
    <w:basedOn w:val="920"/>
    <w:uiPriority w:val="99"/>
    <w:qFormat/>
    <w:rPr>
      <w:color w:val="404040"/>
    </w:rPr>
    <w:tblPr/>
  </w:style>
  <w:style w:type="table" w:styleId="1143" w:customStyle="1">
    <w:name w:val="Bordered &amp; Lined - Accent 1"/>
    <w:basedOn w:val="920"/>
    <w:uiPriority w:val="99"/>
    <w:qFormat/>
    <w:rPr>
      <w:color w:val="404040"/>
    </w:rPr>
    <w:tblPr/>
  </w:style>
  <w:style w:type="table" w:styleId="1144" w:customStyle="1">
    <w:name w:val="Bordered &amp; Lined - Accent 2"/>
    <w:basedOn w:val="920"/>
    <w:uiPriority w:val="99"/>
    <w:qFormat/>
    <w:rPr>
      <w:color w:val="404040"/>
    </w:rPr>
    <w:tblPr/>
  </w:style>
  <w:style w:type="table" w:styleId="1145" w:customStyle="1">
    <w:name w:val="Bordered &amp; Lined - Accent 3"/>
    <w:basedOn w:val="920"/>
    <w:uiPriority w:val="99"/>
    <w:qFormat/>
    <w:rPr>
      <w:color w:val="404040"/>
    </w:rPr>
    <w:tblPr/>
  </w:style>
  <w:style w:type="table" w:styleId="1146" w:customStyle="1">
    <w:name w:val="Bordered &amp; Lined - Accent 4"/>
    <w:basedOn w:val="920"/>
    <w:uiPriority w:val="99"/>
    <w:qFormat/>
    <w:rPr>
      <w:color w:val="404040"/>
    </w:rPr>
    <w:tblPr/>
  </w:style>
  <w:style w:type="table" w:styleId="1147" w:customStyle="1">
    <w:name w:val="Bordered &amp; Lined - Accent 5"/>
    <w:basedOn w:val="920"/>
    <w:uiPriority w:val="99"/>
    <w:qFormat/>
    <w:rPr>
      <w:color w:val="404040"/>
    </w:rPr>
    <w:tblPr/>
  </w:style>
  <w:style w:type="table" w:styleId="1148" w:customStyle="1">
    <w:name w:val="Bordered &amp; Lined - Accent 6"/>
    <w:basedOn w:val="920"/>
    <w:uiPriority w:val="99"/>
    <w:qFormat/>
    <w:rPr>
      <w:color w:val="404040"/>
    </w:rPr>
    <w:tblPr/>
  </w:style>
  <w:style w:type="table" w:styleId="1149" w:customStyle="1">
    <w:name w:val="Bordered"/>
    <w:basedOn w:val="920"/>
    <w:uiPriority w:val="99"/>
    <w:qFormat/>
    <w:tblPr/>
  </w:style>
  <w:style w:type="table" w:styleId="1150" w:customStyle="1">
    <w:name w:val="Bordered - Accent 1"/>
    <w:basedOn w:val="920"/>
    <w:uiPriority w:val="99"/>
    <w:qFormat/>
    <w:tblPr/>
  </w:style>
  <w:style w:type="table" w:styleId="1151" w:customStyle="1">
    <w:name w:val="Bordered - Accent 2"/>
    <w:basedOn w:val="920"/>
    <w:uiPriority w:val="99"/>
    <w:qFormat/>
    <w:tblPr/>
  </w:style>
  <w:style w:type="table" w:styleId="1152" w:customStyle="1">
    <w:name w:val="Bordered - Accent 3"/>
    <w:basedOn w:val="920"/>
    <w:uiPriority w:val="99"/>
    <w:qFormat/>
    <w:tblPr/>
  </w:style>
  <w:style w:type="table" w:styleId="1153" w:customStyle="1">
    <w:name w:val="Bordered - Accent 4"/>
    <w:basedOn w:val="920"/>
    <w:uiPriority w:val="99"/>
    <w:qFormat/>
    <w:tblPr/>
  </w:style>
  <w:style w:type="table" w:styleId="1154" w:customStyle="1">
    <w:name w:val="Bordered - Accent 5"/>
    <w:basedOn w:val="920"/>
    <w:uiPriority w:val="99"/>
    <w:qFormat/>
    <w:tblPr/>
  </w:style>
  <w:style w:type="table" w:styleId="1155" w:customStyle="1">
    <w:name w:val="Bordered - Accent 6"/>
    <w:basedOn w:val="920"/>
    <w:uiPriority w:val="99"/>
    <w:qFormat/>
    <w:tblPr/>
  </w:style>
  <w:style w:type="paragraph" w:styleId="1156" w:customStyle="1">
    <w:name w:val="TOC 标题11"/>
    <w:uiPriority w:val="39"/>
    <w:qFormat/>
    <w:rPr>
      <w:rFonts w:ascii="Times New Roman" w:hAnsi="Times New Roman" w:eastAsia="宋体" w:cs="Times New Roman"/>
      <w:lang w:val="en-US" w:eastAsia="zh-CN" w:bidi="ar-SA"/>
    </w:rPr>
  </w:style>
  <w:style w:type="paragraph" w:styleId="1157" w:customStyle="1">
    <w:name w:val="Normal_0"/>
    <w:uiPriority w:val="0"/>
    <w:qFormat/>
    <w:rPr>
      <w:rFonts w:ascii="黑体" w:hAnsi="黑体" w:eastAsia="黑体" w:cs="Times New Roman"/>
      <w:b/>
      <w:sz w:val="32"/>
      <w:szCs w:val="24"/>
      <w:lang w:val="en-US" w:eastAsia="zh-CN" w:bidi="ar-SA"/>
    </w:rPr>
  </w:style>
  <w:style w:type="paragraph" w:styleId="1158" w:customStyle="1">
    <w:name w:val="正文1"/>
    <w:uiPriority w:val="0"/>
    <w:qFormat/>
    <w:rPr>
      <w:rFonts w:ascii="Times New Roman" w:hAnsi="Times New Roman" w:eastAsia="Times New Roman" w:cs="Times New Roman"/>
      <w:sz w:val="24"/>
      <w:szCs w:val="24"/>
      <w:lang w:val="en-US" w:eastAsia="zh-CN" w:bidi="ar-SA"/>
    </w:rPr>
  </w:style>
  <w:style w:type="paragraph" w:styleId="1159" w:customStyle="1">
    <w:name w:val="Normal_0_3"/>
    <w:uiPriority w:val="0"/>
    <w:qFormat/>
    <w:rPr>
      <w:rFonts w:ascii="黑体" w:hAnsi="黑体" w:eastAsia="黑体" w:cs="黑体"/>
      <w:b/>
      <w:sz w:val="32"/>
      <w:szCs w:val="24"/>
      <w:lang w:val="en-US" w:eastAsia="zh-CN" w:bidi="ar-SA"/>
    </w:rPr>
  </w:style>
  <w:style w:type="paragraph" w:styleId="1160" w:customStyle="1">
    <w:name w:val="正文首行缩进 2_0"/>
    <w:basedOn w:val="1161"/>
    <w:uiPriority w:val="0"/>
    <w:qFormat/>
    <w:pPr>
      <w:ind w:left="200" w:firstLine="200"/>
      <w:spacing w:after="120"/>
    </w:pPr>
    <w:rPr>
      <w:rFonts w:ascii="Times New Roman" w:hAnsi="Times New Roman"/>
      <w:sz w:val="24"/>
      <w:szCs w:val="24"/>
    </w:rPr>
  </w:style>
  <w:style w:type="paragraph" w:styleId="1161" w:customStyle="1">
    <w:name w:val="正文文本缩进_0"/>
    <w:basedOn w:val="1162"/>
    <w:uiPriority w:val="0"/>
    <w:qFormat/>
    <w:pPr>
      <w:ind w:firstLine="225"/>
    </w:pPr>
    <w:rPr>
      <w:rFonts w:ascii="仿宋_GB2312" w:eastAsia="仿宋_GB2312"/>
      <w:sz w:val="32"/>
    </w:rPr>
  </w:style>
  <w:style w:type="paragraph" w:styleId="1162" w:customStyle="1">
    <w:name w:val="正文_2"/>
    <w:next w:val="1163"/>
    <w:uiPriority w:val="0"/>
    <w:qFormat/>
    <w:pPr>
      <w:jc w:val="both"/>
      <w:widowControl w:val="off"/>
    </w:pPr>
    <w:rPr>
      <w:rFonts w:ascii="Calibri" w:hAnsi="Calibri" w:eastAsia="宋体" w:cs="Times New Roman"/>
      <w:sz w:val="21"/>
      <w:szCs w:val="22"/>
      <w:lang w:val="en-US" w:eastAsia="zh-CN" w:bidi="ar-SA"/>
    </w:rPr>
  </w:style>
  <w:style w:type="paragraph" w:styleId="1163" w:customStyle="1">
    <w:name w:val="正文首行缩进_0"/>
    <w:basedOn w:val="1164"/>
    <w:uiPriority w:val="0"/>
    <w:qFormat/>
    <w:pPr>
      <w:ind w:firstLine="100"/>
      <w:spacing w:after="120" w:line="240" w:lineRule="auto"/>
    </w:pPr>
    <w:rPr>
      <w:rFonts w:ascii="Times New Roman" w:hAnsi="Times New Roman" w:eastAsia="宋体"/>
      <w:sz w:val="21"/>
    </w:rPr>
  </w:style>
  <w:style w:type="paragraph" w:styleId="1164" w:customStyle="1">
    <w:name w:val="正文文本_0"/>
    <w:basedOn w:val="1162"/>
    <w:uiPriority w:val="0"/>
    <w:qFormat/>
    <w:pPr>
      <w:spacing w:line="60" w:lineRule="auto"/>
    </w:pPr>
    <w:rPr>
      <w:rFonts w:ascii="仿宋_GB2312" w:eastAsia="仿宋_GB2312"/>
      <w:sz w:val="32"/>
    </w:rPr>
  </w:style>
  <w:style w:type="paragraph" w:styleId="1165" w:customStyle="1">
    <w:name w:val="Normal_0_2"/>
    <w:next w:val="1166"/>
    <w:uiPriority w:val="0"/>
    <w:qFormat/>
    <w:rPr>
      <w:rFonts w:ascii="黑体" w:hAnsi="黑体" w:eastAsia="黑体" w:cs="黑体"/>
      <w:b/>
      <w:sz w:val="32"/>
      <w:szCs w:val="24"/>
      <w:lang w:val="en-US" w:eastAsia="zh-CN" w:bidi="ar-SA"/>
    </w:rPr>
  </w:style>
  <w:style w:type="paragraph" w:styleId="1166" w:customStyle="1">
    <w:name w:val="Body Text First Indent_1"/>
    <w:basedOn w:val="910"/>
    <w:uiPriority w:val="99"/>
    <w:qFormat/>
    <w:pPr>
      <w:ind w:firstLine="420"/>
      <w:spacing w:after="120"/>
    </w:pPr>
    <w:rPr>
      <w:rFonts w:eastAsia="Times New Roman"/>
    </w:rPr>
  </w:style>
  <w:style w:type="paragraph" w:styleId="1167" w:customStyle="1">
    <w:name w:val="Normal_1_2"/>
    <w:uiPriority w:val="0"/>
    <w:qFormat/>
    <w:rPr>
      <w:rFonts w:ascii="Times New Roman" w:hAnsi="Times New Roman" w:eastAsia="Times New Roman" w:cs="Times New Roman"/>
      <w:sz w:val="24"/>
      <w:szCs w:val="24"/>
      <w:lang w:val="en-US" w:eastAsia="zh-CN" w:bidi="ar-SA"/>
    </w:rPr>
  </w:style>
  <w:style w:type="paragraph" w:styleId="1168" w:customStyle="1">
    <w:name w:val="Normal_0_1"/>
    <w:next w:val="1169"/>
    <w:uiPriority w:val="0"/>
    <w:qFormat/>
    <w:rPr>
      <w:rFonts w:ascii="黑体" w:hAnsi="黑体" w:eastAsia="黑体" w:cs="黑体"/>
      <w:b/>
      <w:sz w:val="32"/>
      <w:szCs w:val="24"/>
      <w:lang w:val="en-US" w:eastAsia="zh-CN" w:bidi="ar-SA"/>
    </w:rPr>
  </w:style>
  <w:style w:type="paragraph" w:styleId="1169" w:customStyle="1">
    <w:name w:val="Body Text First Indent_0"/>
    <w:basedOn w:val="1170"/>
    <w:uiPriority w:val="99"/>
    <w:qFormat/>
    <w:pPr>
      <w:ind w:firstLine="420"/>
      <w:spacing w:after="120"/>
    </w:pPr>
  </w:style>
  <w:style w:type="paragraph" w:styleId="1170" w:customStyle="1">
    <w:name w:val="正文3"/>
    <w:next w:val="1171"/>
    <w:uiPriority w:val="0"/>
    <w:qFormat/>
    <w:rPr>
      <w:rFonts w:ascii="Times New Roman" w:hAnsi="Times New Roman" w:eastAsia="Times New Roman" w:cs="Times New Roman"/>
      <w:sz w:val="24"/>
      <w:szCs w:val="24"/>
      <w:lang w:val="en-US" w:eastAsia="zh-CN" w:bidi="ar-SA"/>
    </w:rPr>
  </w:style>
  <w:style w:type="paragraph" w:styleId="1171" w:customStyle="1">
    <w:name w:val="正文首行缩进3"/>
    <w:basedOn w:val="1158"/>
    <w:uiPriority w:val="99"/>
    <w:qFormat/>
    <w:pPr>
      <w:ind w:firstLine="420"/>
      <w:spacing w:after="120"/>
    </w:pPr>
    <w:rPr>
      <w:sz w:val="20"/>
    </w:rPr>
  </w:style>
  <w:style w:type="paragraph" w:styleId="1172" w:customStyle="1">
    <w:name w:val="Normal_1_1"/>
    <w:uiPriority w:val="0"/>
    <w:qFormat/>
    <w:rPr>
      <w:rFonts w:ascii="黑体" w:hAnsi="黑体" w:eastAsia="黑体" w:cs="黑体"/>
      <w:b/>
      <w:sz w:val="32"/>
      <w:szCs w:val="24"/>
      <w:lang w:val="en-US" w:eastAsia="zh-CN" w:bidi="ar-SA"/>
    </w:rPr>
  </w:style>
  <w:style w:type="paragraph" w:styleId="1173"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174"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175" w:customStyle="1">
    <w:name w:val="Normal_2_0"/>
    <w:uiPriority w:val="0"/>
    <w:qFormat/>
    <w:rPr>
      <w:rFonts w:ascii="黑体" w:hAnsi="黑体" w:eastAsia="黑体" w:cs="黑体"/>
      <w:b/>
      <w:sz w:val="32"/>
      <w:szCs w:val="24"/>
      <w:lang w:val="en-US" w:eastAsia="zh-CN" w:bidi="ar-SA"/>
    </w:rPr>
  </w:style>
  <w:style w:type="paragraph" w:styleId="1176"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177" w:customStyle="1">
    <w:name w:val="Normal_4_0"/>
    <w:uiPriority w:val="0"/>
    <w:qFormat/>
    <w:rPr>
      <w:rFonts w:ascii="黑体" w:hAnsi="黑体" w:eastAsia="黑体" w:cs="黑体"/>
      <w:b/>
      <w:sz w:val="32"/>
      <w:szCs w:val="24"/>
      <w:lang w:val="en-US" w:eastAsia="zh-CN" w:bidi="ar-SA"/>
    </w:rPr>
  </w:style>
  <w:style w:type="paragraph" w:styleId="1178"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179" w:customStyle="1">
    <w:name w:val="Normal_6_0"/>
    <w:uiPriority w:val="0"/>
    <w:qFormat/>
    <w:rPr>
      <w:rFonts w:ascii="黑体" w:hAnsi="黑体" w:eastAsia="黑体" w:cs="黑体"/>
      <w:b/>
      <w:sz w:val="32"/>
      <w:szCs w:val="24"/>
      <w:lang w:val="en-US" w:eastAsia="zh-CN" w:bidi="ar-SA"/>
    </w:rPr>
  </w:style>
  <w:style w:type="paragraph" w:styleId="1180"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181"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82"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183" w:customStyle="1">
    <w:name w:val="Normal_7_0"/>
    <w:uiPriority w:val="0"/>
    <w:qFormat/>
    <w:rPr>
      <w:rFonts w:ascii="黑体" w:hAnsi="黑体" w:eastAsia="黑体" w:cs="黑体"/>
      <w:b/>
      <w:sz w:val="32"/>
      <w:szCs w:val="24"/>
      <w:lang w:val="en-US" w:eastAsia="zh-CN" w:bidi="ar-SA"/>
    </w:rPr>
  </w:style>
  <w:style w:type="paragraph" w:styleId="1184" w:customStyle="1">
    <w:name w:val="Normal_8_0"/>
    <w:uiPriority w:val="0"/>
    <w:qFormat/>
    <w:rPr>
      <w:rFonts w:ascii="Times New Roman" w:hAnsi="Times New Roman" w:eastAsia="Times New Roman" w:cs="Times New Roman"/>
      <w:sz w:val="24"/>
      <w:szCs w:val="24"/>
      <w:lang w:val="en-US" w:eastAsia="zh-CN" w:bidi="ar-SA"/>
    </w:rPr>
  </w:style>
  <w:style w:type="paragraph" w:styleId="1185" w:customStyle="1">
    <w:name w:val="Normal_9_0"/>
    <w:uiPriority w:val="0"/>
    <w:qFormat/>
    <w:rPr>
      <w:rFonts w:ascii="Times New Roman" w:hAnsi="Times New Roman" w:eastAsia="Times New Roman" w:cs="Times New Roman"/>
      <w:sz w:val="24"/>
      <w:szCs w:val="24"/>
      <w:lang w:val="en-US" w:eastAsia="zh-CN" w:bidi="ar-SA"/>
    </w:rPr>
  </w:style>
  <w:style w:type="paragraph" w:styleId="1186" w:customStyle="1">
    <w:name w:val="Normal_10_0"/>
    <w:uiPriority w:val="0"/>
    <w:qFormat/>
    <w:rPr>
      <w:rFonts w:ascii="黑体" w:hAnsi="黑体" w:eastAsia="黑体" w:cs="黑体"/>
      <w:b/>
      <w:sz w:val="32"/>
      <w:szCs w:val="24"/>
      <w:lang w:val="en-US" w:eastAsia="zh-CN" w:bidi="ar-SA"/>
    </w:rPr>
  </w:style>
  <w:style w:type="paragraph" w:styleId="1187"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188" w:customStyle="1">
    <w:name w:val="正文首行缩进 2_1"/>
    <w:basedOn w:val="1189"/>
    <w:next w:val="1191"/>
    <w:uiPriority w:val="0"/>
    <w:qFormat/>
    <w:pPr>
      <w:ind w:left="200" w:firstLine="200"/>
      <w:spacing w:after="120"/>
    </w:pPr>
    <w:rPr>
      <w:rFonts w:ascii="Times New Roman"/>
      <w:szCs w:val="24"/>
    </w:rPr>
  </w:style>
  <w:style w:type="paragraph" w:styleId="1189" w:customStyle="1">
    <w:name w:val="正文文本缩进_1"/>
    <w:basedOn w:val="1190"/>
    <w:next w:val="1188"/>
    <w:uiPriority w:val="0"/>
    <w:qFormat/>
    <w:pPr>
      <w:ind w:firstLine="225"/>
    </w:pPr>
    <w:rPr>
      <w:rFonts w:ascii="仿宋_GB2312" w:eastAsia="仿宋_GB2312"/>
      <w:sz w:val="32"/>
    </w:rPr>
  </w:style>
  <w:style w:type="paragraph" w:styleId="1190" w:customStyle="1">
    <w:name w:val="正文_18"/>
    <w:next w:val="1189"/>
    <w:uiPriority w:val="0"/>
    <w:qFormat/>
    <w:pPr>
      <w:jc w:val="both"/>
      <w:widowControl w:val="off"/>
    </w:pPr>
    <w:rPr>
      <w:rFonts w:ascii="Calibri" w:hAnsi="Calibri" w:eastAsia="宋体" w:cs="Times New Roman"/>
      <w:sz w:val="21"/>
      <w:szCs w:val="22"/>
      <w:lang w:val="en-US" w:eastAsia="zh-CN" w:bidi="ar-SA"/>
    </w:rPr>
  </w:style>
  <w:style w:type="paragraph" w:styleId="1191" w:customStyle="1">
    <w:name w:val="xl53_0"/>
    <w:next w:val="1187"/>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1192"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193" w:customStyle="1">
    <w:name w:val="Normal_11_0"/>
    <w:uiPriority w:val="0"/>
    <w:qFormat/>
    <w:rPr>
      <w:rFonts w:ascii="黑体" w:hAnsi="黑体" w:eastAsia="黑体" w:cs="黑体"/>
      <w:b/>
      <w:sz w:val="32"/>
      <w:szCs w:val="24"/>
      <w:lang w:val="en-US" w:eastAsia="zh-CN" w:bidi="ar-SA"/>
    </w:rPr>
  </w:style>
  <w:style w:type="paragraph" w:styleId="1194"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195"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196"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197"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198" w:customStyle="1">
    <w:name w:val="列出段落_2"/>
    <w:basedOn w:val="1196"/>
    <w:uiPriority w:val="34"/>
    <w:qFormat/>
    <w:pPr>
      <w:ind w:firstLine="420"/>
    </w:pPr>
  </w:style>
  <w:style w:type="paragraph" w:styleId="1199" w:customStyle="1">
    <w:name w:val="Normal_13_0"/>
    <w:uiPriority w:val="0"/>
    <w:qFormat/>
    <w:rPr>
      <w:rFonts w:ascii="黑体" w:hAnsi="黑体" w:eastAsia="黑体" w:cs="黑体"/>
      <w:b/>
      <w:sz w:val="32"/>
      <w:szCs w:val="24"/>
      <w:lang w:val="en-US" w:eastAsia="zh-CN" w:bidi="ar-SA"/>
    </w:rPr>
  </w:style>
  <w:style w:type="paragraph" w:styleId="1200"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201" w:customStyle="1">
    <w:name w:val="纯文本_0_0"/>
    <w:basedOn w:val="1200"/>
    <w:uiPriority w:val="0"/>
    <w:qFormat/>
    <w:rPr>
      <w:rFonts w:ascii="宋体" w:hAnsi="Courier New"/>
      <w:szCs w:val="21"/>
    </w:rPr>
  </w:style>
  <w:style w:type="paragraph" w:styleId="1202"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203" w:customStyle="1">
    <w:name w:val="Normal_14_0"/>
    <w:uiPriority w:val="0"/>
    <w:qFormat/>
    <w:rPr>
      <w:rFonts w:ascii="黑体" w:hAnsi="黑体" w:eastAsia="黑体" w:cs="黑体"/>
      <w:b/>
      <w:sz w:val="32"/>
      <w:szCs w:val="24"/>
      <w:lang w:val="en-US" w:eastAsia="zh-CN" w:bidi="ar-SA"/>
    </w:rPr>
  </w:style>
  <w:style w:type="paragraph" w:styleId="1204"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205" w:customStyle="1">
    <w:name w:val="Normal_15_0"/>
    <w:uiPriority w:val="0"/>
    <w:qFormat/>
    <w:rPr>
      <w:rFonts w:ascii="黑体" w:hAnsi="黑体" w:eastAsia="黑体" w:cs="黑体"/>
      <w:b/>
      <w:sz w:val="32"/>
      <w:szCs w:val="24"/>
      <w:lang w:val="en-US" w:eastAsia="zh-CN" w:bidi="ar-SA"/>
    </w:rPr>
  </w:style>
  <w:style w:type="paragraph" w:styleId="1206"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207"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08" w:customStyle="1">
    <w:name w:val="Normal_16_0"/>
    <w:uiPriority w:val="0"/>
    <w:qFormat/>
    <w:rPr>
      <w:rFonts w:ascii="黑体" w:hAnsi="黑体" w:eastAsia="黑体" w:cs="黑体"/>
      <w:b/>
      <w:sz w:val="32"/>
      <w:szCs w:val="24"/>
      <w:lang w:val="en-US" w:eastAsia="zh-CN" w:bidi="ar-SA"/>
    </w:rPr>
  </w:style>
  <w:style w:type="paragraph" w:styleId="1209"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210" w:customStyle="1">
    <w:name w:val="Normal_17_0"/>
    <w:uiPriority w:val="0"/>
    <w:qFormat/>
    <w:rPr>
      <w:rFonts w:ascii="黑体" w:hAnsi="黑体" w:eastAsia="黑体" w:cs="黑体"/>
      <w:b/>
      <w:sz w:val="32"/>
      <w:szCs w:val="24"/>
      <w:lang w:val="en-US" w:eastAsia="zh-CN" w:bidi="ar-SA"/>
    </w:rPr>
  </w:style>
  <w:style w:type="paragraph" w:styleId="1211"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212" w:customStyle="1">
    <w:name w:val="Normal_18_0"/>
    <w:uiPriority w:val="0"/>
    <w:qFormat/>
    <w:rPr>
      <w:rFonts w:ascii="黑体" w:hAnsi="黑体" w:eastAsia="黑体" w:cs="黑体"/>
      <w:b/>
      <w:sz w:val="32"/>
      <w:szCs w:val="24"/>
      <w:lang w:val="en-US" w:eastAsia="zh-CN" w:bidi="ar-SA"/>
    </w:rPr>
  </w:style>
  <w:style w:type="paragraph" w:styleId="1213"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214"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215" w:customStyle="1">
    <w:name w:val="Normal_14_0_0"/>
    <w:uiPriority w:val="0"/>
    <w:qFormat/>
    <w:rPr>
      <w:rFonts w:ascii="黑体" w:hAnsi="黑体" w:eastAsia="黑体" w:cs="Times New Roman"/>
      <w:b/>
      <w:sz w:val="32"/>
      <w:szCs w:val="24"/>
      <w:lang w:val="en-US" w:eastAsia="zh-CN" w:bidi="ar-SA"/>
    </w:rPr>
  </w:style>
  <w:style w:type="paragraph" w:styleId="1216"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217"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218"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219"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20"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221"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22" w:customStyle="1">
    <w:name w:val="Normal Indent_0"/>
    <w:basedOn w:val="998"/>
    <w:uiPriority w:val="0"/>
    <w:qFormat/>
    <w:pPr>
      <w:ind w:firstLine="420"/>
    </w:pPr>
    <w:rPr>
      <w:rFonts w:ascii="宋体" w:eastAsia="Times New Roman"/>
      <w:color w:val="000000"/>
      <w:sz w:val="24"/>
      <w:szCs w:val="20"/>
    </w:rPr>
  </w:style>
  <w:style w:type="paragraph" w:styleId="1223" w:customStyle="1">
    <w:name w:val="Heading 3_0"/>
    <w:basedOn w:val="998"/>
    <w:next w:val="998"/>
    <w:uiPriority w:val="0"/>
    <w:qFormat/>
    <w:pPr>
      <w:keepLines/>
      <w:keepNext/>
      <w:spacing w:before="260" w:after="260" w:line="413" w:lineRule="auto"/>
      <w:outlineLvl w:val="2"/>
    </w:pPr>
    <w:rPr>
      <w:rFonts w:ascii="Times New Roman" w:hAnsi="Times New Roman" w:eastAsia="Times New Roman"/>
      <w:szCs w:val="20"/>
    </w:rPr>
  </w:style>
  <w:style w:type="paragraph" w:styleId="1224"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225" w:customStyle="1">
    <w:name w:val="正文2"/>
    <w:basedOn w:val="864"/>
    <w:uiPriority w:val="0"/>
    <w:qFormat/>
    <w:pPr>
      <w:ind w:firstLine="510"/>
      <w:spacing w:before="156" w:line="360" w:lineRule="auto"/>
    </w:pPr>
    <w:rPr>
      <w:sz w:val="24"/>
      <w:szCs w:val="20"/>
    </w:rPr>
  </w:style>
  <w:style w:type="paragraph" w:styleId="122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7"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228" w:customStyle="1">
    <w:name w:val="Normal_19_1_0"/>
    <w:next w:val="1229"/>
    <w:uiPriority w:val="0"/>
    <w:qFormat/>
    <w:pPr>
      <w:jc w:val="both"/>
      <w:widowControl w:val="off"/>
    </w:pPr>
    <w:rPr>
      <w:rFonts w:ascii="Calibri" w:hAnsi="Calibri" w:eastAsia="宋体" w:cs="Times New Roman"/>
      <w:szCs w:val="24"/>
      <w:lang w:val="en-US" w:eastAsia="zh-CN" w:bidi="ar-SA"/>
    </w:rPr>
  </w:style>
  <w:style w:type="paragraph" w:styleId="1229" w:customStyle="1">
    <w:name w:val="正文_16_0"/>
    <w:basedOn w:val="1190"/>
    <w:next w:val="1188"/>
    <w:uiPriority w:val="0"/>
    <w:qFormat/>
    <w:rPr>
      <w:rFonts w:ascii="Times New Roman" w:hAnsi="Times New Roman"/>
    </w:rPr>
  </w:style>
  <w:style w:type="paragraph" w:styleId="1230" w:customStyle="1">
    <w:name w:val="Normal_19_0"/>
    <w:basedOn w:val="908"/>
    <w:next w:val="1231"/>
    <w:uiPriority w:val="0"/>
    <w:qFormat/>
    <w:rPr>
      <w:szCs w:val="24"/>
    </w:rPr>
  </w:style>
  <w:style w:type="paragraph" w:styleId="1231" w:customStyle="1">
    <w:name w:val="Body Text First Indent_1_0"/>
    <w:basedOn w:val="1230"/>
    <w:uiPriority w:val="0"/>
    <w:qFormat/>
    <w:pPr>
      <w:ind w:firstLine="100"/>
      <w:spacing w:after="120"/>
    </w:pPr>
  </w:style>
  <w:style w:type="paragraph" w:styleId="1232" w:customStyle="1">
    <w:name w:val="Body Text_0"/>
    <w:basedOn w:val="1230"/>
    <w:uiPriority w:val="0"/>
    <w:qFormat/>
    <w:pPr>
      <w:spacing w:line="60" w:lineRule="auto"/>
    </w:pPr>
    <w:rPr>
      <w:rFonts w:ascii="仿宋_GB2312" w:eastAsia="仿宋_GB2312"/>
      <w:sz w:val="32"/>
    </w:rPr>
  </w:style>
  <w:style w:type="paragraph" w:styleId="1233" w:customStyle="1">
    <w:name w:val="Normal_19_1"/>
    <w:next w:val="998"/>
    <w:uiPriority w:val="0"/>
    <w:qFormat/>
    <w:pPr>
      <w:jc w:val="both"/>
      <w:widowControl w:val="off"/>
    </w:pPr>
    <w:rPr>
      <w:rFonts w:ascii="Calibri" w:hAnsi="Calibri" w:eastAsia="宋体" w:cs="Times New Roman"/>
      <w:szCs w:val="24"/>
      <w:lang w:val="en-US" w:eastAsia="zh-CN" w:bidi="ar-SA"/>
    </w:rPr>
  </w:style>
  <w:style w:type="paragraph" w:styleId="1234" w:customStyle="1">
    <w:name w:val="正文_6_0_0"/>
    <w:uiPriority w:val="0"/>
    <w:qFormat/>
    <w:pPr>
      <w:jc w:val="both"/>
      <w:widowControl w:val="off"/>
    </w:pPr>
    <w:rPr>
      <w:rFonts w:ascii="Calibri" w:hAnsi="Calibri" w:eastAsia="宋体" w:cs="Times New Roman"/>
      <w:lang w:val="en-US" w:eastAsia="zh-CN" w:bidi="ar-SA"/>
    </w:rPr>
  </w:style>
  <w:style w:type="paragraph" w:styleId="1235" w:customStyle="1">
    <w:name w:val="正文_7_1"/>
    <w:uiPriority w:val="0"/>
    <w:qFormat/>
    <w:pPr>
      <w:jc w:val="both"/>
      <w:widowControl w:val="off"/>
    </w:pPr>
    <w:rPr>
      <w:rFonts w:ascii="Calibri" w:hAnsi="Calibri" w:eastAsia="宋体" w:cs="Times New Roman"/>
      <w:lang w:val="en-US" w:eastAsia="zh-CN" w:bidi="ar-SA"/>
    </w:rPr>
  </w:style>
  <w:style w:type="paragraph" w:styleId="1236" w:customStyle="1">
    <w:name w:val="正文1_1"/>
    <w:basedOn w:val="1184"/>
    <w:uiPriority w:val="0"/>
    <w:qFormat/>
    <w:pPr>
      <w:jc w:val="both"/>
      <w:widowControl w:val="off"/>
    </w:pPr>
    <w:rPr>
      <w:sz w:val="20"/>
      <w:szCs w:val="20"/>
    </w:rPr>
  </w:style>
  <w:style w:type="paragraph" w:styleId="1237" w:customStyle="1">
    <w:name w:val="Normal_8_0_0"/>
    <w:uiPriority w:val="0"/>
    <w:qFormat/>
    <w:rPr>
      <w:rFonts w:ascii="Times New Roman" w:hAnsi="Times New Roman" w:eastAsia="Times New Roman" w:cs="Times New Roman"/>
      <w:sz w:val="24"/>
      <w:szCs w:val="24"/>
      <w:lang w:val="en-US" w:eastAsia="zh-CN" w:bidi="ar-SA"/>
    </w:rPr>
  </w:style>
  <w:style w:type="paragraph" w:styleId="1238" w:customStyle="1">
    <w:name w:val="Normal_8_0_0_0"/>
    <w:uiPriority w:val="0"/>
    <w:qFormat/>
    <w:pPr>
      <w:jc w:val="both"/>
      <w:widowControl w:val="off"/>
    </w:pPr>
    <w:rPr>
      <w:rFonts w:ascii="Calibri" w:hAnsi="Calibri" w:eastAsia="宋体" w:cs="Times New Roman"/>
      <w:lang w:val="en-US" w:eastAsia="zh-CN" w:bidi="ar-SA"/>
    </w:rPr>
  </w:style>
  <w:style w:type="paragraph" w:styleId="1239" w:customStyle="1">
    <w:name w:val="Normal_16_1"/>
    <w:uiPriority w:val="0"/>
    <w:qFormat/>
    <w:rPr>
      <w:rFonts w:ascii="黑体" w:hAnsi="黑体" w:eastAsia="黑体" w:cs="Times New Roman"/>
      <w:b/>
      <w:sz w:val="32"/>
      <w:szCs w:val="24"/>
      <w:lang w:val="en-US" w:eastAsia="zh-CN" w:bidi="ar-SA"/>
    </w:rPr>
  </w:style>
  <w:style w:type="paragraph" w:styleId="1240" w:customStyle="1">
    <w:name w:val="Normal_19_0_1"/>
    <w:uiPriority w:val="0"/>
    <w:qFormat/>
    <w:rPr>
      <w:rFonts w:ascii="Tahoma" w:hAnsi="Tahoma" w:eastAsia="微软雅黑" w:cs="Times New Roman"/>
      <w:lang w:val="en-US" w:eastAsia="zh-CN" w:bidi="ar-SA"/>
    </w:rPr>
  </w:style>
  <w:style w:type="paragraph" w:styleId="1241" w:customStyle="1">
    <w:name w:val="Normal_16_0_0"/>
    <w:uiPriority w:val="0"/>
    <w:qFormat/>
    <w:pPr>
      <w:jc w:val="both"/>
      <w:widowControl w:val="off"/>
    </w:pPr>
    <w:rPr>
      <w:rFonts w:ascii="Calibri" w:hAnsi="Calibri" w:eastAsia="宋体" w:cs="Times New Roman"/>
      <w:lang w:val="en-US" w:eastAsia="zh-CN" w:bidi="ar-SA"/>
    </w:rPr>
  </w:style>
  <w:style w:type="paragraph" w:styleId="1242"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243" w:customStyle="1">
    <w:name w:val="Normal_17_0_0"/>
    <w:uiPriority w:val="0"/>
    <w:qFormat/>
    <w:rPr>
      <w:rFonts w:ascii="黑体" w:hAnsi="黑体" w:eastAsia="黑体" w:cs="Times New Roman"/>
      <w:b/>
      <w:sz w:val="32"/>
      <w:szCs w:val="24"/>
      <w:lang w:val="en-US" w:eastAsia="zh-CN" w:bidi="ar-SA"/>
    </w:rPr>
  </w:style>
  <w:style w:type="paragraph" w:styleId="1244" w:customStyle="1">
    <w:name w:val="Normal_19_0_1_0"/>
    <w:uiPriority w:val="0"/>
    <w:qFormat/>
    <w:rPr>
      <w:rFonts w:ascii="Tahoma" w:hAnsi="Tahoma" w:eastAsia="微软雅黑" w:cs="Times New Roman"/>
      <w:lang w:val="en-US" w:eastAsia="zh-CN" w:bidi="ar-SA"/>
    </w:rPr>
  </w:style>
  <w:style w:type="paragraph" w:styleId="1245" w:customStyle="1">
    <w:name w:val="Normal_19_3"/>
    <w:next w:val="1246"/>
    <w:uiPriority w:val="0"/>
    <w:qFormat/>
    <w:pPr>
      <w:jc w:val="both"/>
      <w:widowControl w:val="off"/>
    </w:pPr>
    <w:rPr>
      <w:rFonts w:ascii="Calibri" w:hAnsi="Calibri" w:eastAsia="Times New Roman" w:cs="Times New Roman"/>
      <w:szCs w:val="24"/>
      <w:lang w:val="en-US" w:eastAsia="zh-CN" w:bidi="ar-SA"/>
    </w:rPr>
  </w:style>
  <w:style w:type="paragraph" w:styleId="1246"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247"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248" w:customStyle="1">
    <w:name w:val="custom-tag-placeholder-class"/>
    <w:uiPriority w:val="0"/>
    <w:qFormat/>
  </w:style>
  <w:style w:type="paragraph" w:styleId="1249" w:customStyle="1">
    <w:name w:val="Normal_19_0_0"/>
    <w:basedOn w:val="998"/>
    <w:next w:val="1250"/>
    <w:uiPriority w:val="0"/>
    <w:qFormat/>
    <w:rPr>
      <w:rFonts w:ascii="Calibri" w:hAnsi="Calibri" w:eastAsia="Times New Roman"/>
      <w:sz w:val="24"/>
    </w:rPr>
  </w:style>
  <w:style w:type="paragraph" w:styleId="1250" w:customStyle="1">
    <w:name w:val="Body Text First Indent_1_0_0"/>
    <w:basedOn w:val="1249"/>
    <w:uiPriority w:val="0"/>
    <w:qFormat/>
    <w:pPr>
      <w:ind w:firstLine="100"/>
      <w:spacing w:after="120"/>
    </w:pPr>
  </w:style>
  <w:style w:type="paragraph" w:styleId="1251" w:customStyle="1">
    <w:name w:val="正文首行缩进1"/>
    <w:basedOn w:val="1252"/>
    <w:next w:val="864"/>
    <w:uiPriority w:val="0"/>
    <w:qFormat/>
    <w:pPr>
      <w:ind w:firstLine="100"/>
      <w:spacing w:after="120" w:line="240" w:lineRule="auto"/>
    </w:pPr>
    <w:rPr>
      <w:rFonts w:ascii="Times New Roman" w:hAnsi="Times New Roman" w:eastAsia="宋体"/>
      <w:sz w:val="21"/>
    </w:rPr>
  </w:style>
  <w:style w:type="paragraph" w:styleId="1252" w:customStyle="1">
    <w:name w:val="正文文本1"/>
    <w:basedOn w:val="864"/>
    <w:uiPriority w:val="0"/>
    <w:qFormat/>
    <w:pPr>
      <w:spacing w:line="60" w:lineRule="auto"/>
    </w:pPr>
    <w:rPr>
      <w:rFonts w:ascii="仿宋_GB2312" w:eastAsia="仿宋_GB2312"/>
      <w:sz w:val="32"/>
    </w:rPr>
  </w:style>
  <w:style w:type="paragraph" w:styleId="1253"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254" w:customStyle="1">
    <w:name w:val="List Paragraph_0"/>
    <w:basedOn w:val="1162"/>
    <w:uiPriority w:val="0"/>
    <w:qFormat/>
    <w:pPr>
      <w:ind w:firstLine="420"/>
    </w:pPr>
  </w:style>
  <w:style w:type="paragraph" w:styleId="1255" w:customStyle="1">
    <w:name w:val="纯文本_1"/>
    <w:basedOn w:val="1253"/>
    <w:uiPriority w:val="0"/>
    <w:qFormat/>
    <w:rPr>
      <w:rFonts w:ascii="宋体" w:hAnsi="Times New Roman"/>
      <w:sz w:val="20"/>
      <w:szCs w:val="21"/>
    </w:rPr>
  </w:style>
  <w:style w:type="paragraph" w:styleId="1256" w:customStyle="1">
    <w:name w:val="正文_16_0_0"/>
    <w:next w:val="1024"/>
    <w:uiPriority w:val="0"/>
    <w:qFormat/>
    <w:pPr>
      <w:jc w:val="both"/>
      <w:widowControl w:val="off"/>
    </w:pPr>
    <w:rPr>
      <w:rFonts w:ascii="Calibri" w:hAnsi="Calibri" w:eastAsia="宋体" w:cs="Times New Roman"/>
      <w:sz w:val="21"/>
      <w:szCs w:val="22"/>
      <w:lang w:val="en-US" w:eastAsia="zh-CN" w:bidi="ar-SA"/>
    </w:rPr>
  </w:style>
  <w:style w:type="paragraph" w:styleId="1257" w:customStyle="1">
    <w:name w:val="正文_11_0"/>
    <w:basedOn w:val="1024"/>
    <w:uiPriority w:val="0"/>
    <w:qFormat/>
    <w:rPr>
      <w:rFonts w:ascii="Calibri" w:hAnsi="Calibri"/>
      <w:szCs w:val="20"/>
    </w:rPr>
  </w:style>
  <w:style w:type="paragraph" w:styleId="1258" w:customStyle="1">
    <w:name w:val="Normal_19_0_0_0"/>
    <w:basedOn w:val="908"/>
    <w:uiPriority w:val="0"/>
    <w:qFormat/>
    <w:rPr>
      <w:rFonts w:cs="黑体"/>
      <w:szCs w:val="24"/>
    </w:rPr>
  </w:style>
  <w:style w:type="paragraph" w:styleId="1259" w:customStyle="1">
    <w:name w:val="无间隔11"/>
    <w:basedOn w:val="1170"/>
    <w:uiPriority w:val="0"/>
    <w:qFormat/>
    <w:rPr>
      <w:rFonts w:ascii="Calibri" w:hAnsi="Calibri" w:cs="Calibri"/>
    </w:rPr>
  </w:style>
  <w:style w:type="paragraph" w:styleId="1260" w:customStyle="1">
    <w:name w:val="标题 31"/>
    <w:basedOn w:val="1170"/>
    <w:next w:val="1261"/>
    <w:uiPriority w:val="0"/>
    <w:qFormat/>
    <w:pPr>
      <w:keepLines/>
      <w:keepNext/>
      <w:spacing w:before="260" w:after="260" w:line="413" w:lineRule="auto"/>
      <w:outlineLvl w:val="2"/>
    </w:pPr>
    <w:rPr>
      <w:b/>
      <w:sz w:val="32"/>
      <w:szCs w:val="20"/>
    </w:rPr>
  </w:style>
  <w:style w:type="paragraph" w:styleId="1261" w:customStyle="1">
    <w:name w:val="正文缩进1"/>
    <w:basedOn w:val="864"/>
    <w:next w:val="864"/>
    <w:uiPriority w:val="0"/>
    <w:qFormat/>
    <w:pPr>
      <w:ind w:firstLine="420"/>
      <w:jc w:val="left"/>
    </w:pPr>
    <w:rPr>
      <w:rFonts w:ascii="宋体"/>
      <w:sz w:val="24"/>
    </w:rPr>
  </w:style>
  <w:style w:type="character" w:styleId="1262" w:customStyle="1">
    <w:name w:val="标题 2 Char_0"/>
    <w:link w:val="1263"/>
    <w:uiPriority w:val="0"/>
    <w:qFormat/>
    <w:rPr>
      <w:rFonts w:ascii="Arial" w:hAnsi="Arial" w:eastAsia="黑体"/>
      <w:b/>
      <w:sz w:val="32"/>
      <w:szCs w:val="22"/>
    </w:rPr>
  </w:style>
  <w:style w:type="paragraph" w:styleId="1263" w:customStyle="1">
    <w:name w:val="标题 21"/>
    <w:basedOn w:val="909"/>
    <w:next w:val="909"/>
    <w:link w:val="1262"/>
    <w:uiPriority w:val="0"/>
    <w:qFormat/>
    <w:pPr>
      <w:keepLines/>
      <w:keepNext/>
      <w:spacing w:before="260" w:after="260" w:line="413" w:lineRule="auto"/>
      <w:outlineLvl w:val="1"/>
    </w:pPr>
    <w:rPr>
      <w:rFonts w:ascii="Arial" w:hAnsi="Arial"/>
      <w:szCs w:val="22"/>
    </w:rPr>
  </w:style>
  <w:style w:type="paragraph" w:styleId="1264" w:customStyle="1">
    <w:name w:val="Normal_19_1_0_0"/>
    <w:next w:val="1265"/>
    <w:uiPriority w:val="0"/>
    <w:qFormat/>
    <w:pPr>
      <w:jc w:val="both"/>
      <w:widowControl w:val="off"/>
    </w:pPr>
    <w:rPr>
      <w:rFonts w:ascii="Calibri" w:hAnsi="Calibri" w:eastAsia="宋体" w:cs="Times New Roman"/>
      <w:sz w:val="21"/>
      <w:szCs w:val="24"/>
      <w:lang w:val="en-US" w:eastAsia="zh-CN" w:bidi="ar-SA"/>
    </w:rPr>
  </w:style>
  <w:style w:type="paragraph" w:styleId="1265"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266" w:customStyle="1">
    <w:name w:val="正文1_0_0"/>
    <w:basedOn w:val="909"/>
    <w:uiPriority w:val="0"/>
    <w:qFormat/>
    <w:pPr>
      <w:ind w:left="357" w:firstLine="420"/>
      <w:spacing w:line="360" w:lineRule="auto"/>
    </w:pPr>
    <w:rPr>
      <w:rFonts w:eastAsia="Times New Roman" w:cs="Arial"/>
    </w:rPr>
  </w:style>
  <w:style w:type="paragraph" w:styleId="1267" w:customStyle="1">
    <w:name w:val="普通正文"/>
    <w:basedOn w:val="864"/>
    <w:uiPriority w:val="0"/>
    <w:qFormat/>
    <w:pPr>
      <w:ind w:firstLine="480"/>
      <w:jc w:val="left"/>
      <w:spacing w:before="120" w:after="120" w:line="360" w:lineRule="auto"/>
    </w:pPr>
    <w:rPr>
      <w:rFonts w:ascii="Arial" w:hAnsi="Arial"/>
      <w:sz w:val="24"/>
      <w:szCs w:val="24"/>
    </w:rPr>
  </w:style>
  <w:style w:type="paragraph" w:styleId="1268" w:customStyle="1">
    <w:name w:val="正文空2字"/>
    <w:basedOn w:val="1269"/>
    <w:uiPriority w:val="99"/>
    <w:qFormat/>
    <w:pPr>
      <w:ind w:firstLine="640"/>
      <w:spacing w:line="560" w:lineRule="exact"/>
      <w:widowControl w:val="off"/>
    </w:pPr>
    <w:rPr>
      <w:rFonts w:ascii="仿宋_GB2312" w:hAnsi="仿宋_GB2312" w:cs="仿宋_GB2312"/>
      <w:lang w:val="zh-TW"/>
    </w:rPr>
  </w:style>
  <w:style w:type="paragraph" w:styleId="1269" w:customStyle="1">
    <w:name w:val="左对齐正文"/>
    <w:uiPriority w:val="99"/>
    <w:qFormat/>
    <w:rPr>
      <w:rFonts w:ascii="Calibri" w:hAnsi="Calibri" w:eastAsia="仿宋_GB2312" w:cs="Calibri"/>
      <w:sz w:val="32"/>
      <w:szCs w:val="32"/>
      <w:lang w:val="en-US" w:eastAsia="zh-CN" w:bidi="ar-SA"/>
    </w:rPr>
  </w:style>
  <w:style w:type="paragraph" w:styleId="1270" w:customStyle="1">
    <w:name w:val="普通(网站)1"/>
    <w:basedOn w:val="864"/>
    <w:uiPriority w:val="0"/>
    <w:qFormat/>
    <w:rPr>
      <w:sz w:val="24"/>
    </w:rPr>
  </w:style>
  <w:style w:type="character" w:styleId="1271" w:customStyle="1">
    <w:name w:val="16"/>
    <w:uiPriority w:val="0"/>
    <w:qFormat/>
    <w:rPr>
      <w:rFonts w:ascii="Times New Roman" w:hAnsi="Times New Roman"/>
      <w:sz w:val="21"/>
      <w:szCs w:val="21"/>
      <w:lang w:val="en-US" w:eastAsia="zh-CN" w:bidi="ar-SA"/>
    </w:rPr>
  </w:style>
  <w:style w:type="paragraph" w:styleId="1272" w:customStyle="1">
    <w:name w:val="正文缩进_1"/>
    <w:basedOn w:val="1162"/>
    <w:uiPriority w:val="0"/>
    <w:qFormat/>
    <w:pPr>
      <w:ind w:firstLine="420"/>
    </w:pPr>
    <w:rPr>
      <w:rFonts w:ascii="宋体"/>
      <w:color w:val="000000"/>
      <w:sz w:val="24"/>
      <w:szCs w:val="20"/>
    </w:rPr>
  </w:style>
  <w:style w:type="paragraph" w:styleId="1273" w:customStyle="1">
    <w:name w:val="Table Paragraph"/>
    <w:basedOn w:val="998"/>
    <w:uiPriority w:val="1"/>
    <w:qFormat/>
    <w:rPr>
      <w:rFonts w:ascii="宋体" w:hAnsi="宋体" w:cs="宋体"/>
      <w:sz w:val="22"/>
      <w:lang w:val="zh-CN" w:bidi="zh-CN"/>
    </w:rPr>
  </w:style>
  <w:style w:type="paragraph" w:styleId="1274" w:customStyle="1">
    <w:name w:val="Normal_19_2"/>
    <w:basedOn w:val="1275"/>
    <w:uiPriority w:val="0"/>
    <w:qFormat/>
    <w:rPr>
      <w:rFonts w:ascii="Times New Roman" w:hAnsi="Times New Roman"/>
      <w:szCs w:val="21"/>
    </w:rPr>
  </w:style>
  <w:style w:type="paragraph" w:styleId="1275"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276" w:customStyle="1">
    <w:name w:val="正文文本2"/>
    <w:basedOn w:val="1022"/>
    <w:uiPriority w:val="0"/>
    <w:qFormat/>
    <w:pPr>
      <w:spacing w:line="60" w:lineRule="auto"/>
    </w:pPr>
    <w:rPr>
      <w:rFonts w:ascii="仿宋_GB2312" w:eastAsia="仿宋_GB2312"/>
      <w:sz w:val="32"/>
      <w:szCs w:val="22"/>
    </w:rPr>
  </w:style>
  <w:style w:type="paragraph" w:styleId="1277" w:customStyle="1">
    <w:name w:val="正文1_0"/>
    <w:basedOn w:val="1253"/>
    <w:uiPriority w:val="0"/>
    <w:qFormat/>
    <w:pPr>
      <w:ind w:left="357" w:firstLine="420"/>
      <w:jc w:val="left"/>
      <w:spacing w:line="360" w:lineRule="auto"/>
      <w:widowControl/>
    </w:pPr>
    <w:rPr>
      <w:rFonts w:cs="Arial"/>
      <w:szCs w:val="20"/>
    </w:rPr>
  </w:style>
  <w:style w:type="paragraph" w:styleId="1278" w:customStyle="1">
    <w:name w:val="Normal_19_2_0"/>
    <w:basedOn w:val="1279"/>
    <w:uiPriority w:val="0"/>
    <w:qFormat/>
    <w:rPr>
      <w:rFonts w:ascii="Times New Roman" w:hAnsi="Times New Roman"/>
      <w:szCs w:val="21"/>
    </w:rPr>
  </w:style>
  <w:style w:type="paragraph" w:styleId="1279"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280" w:customStyle="1">
    <w:name w:val="纯文本1"/>
    <w:basedOn w:val="1023"/>
    <w:uiPriority w:val="0"/>
    <w:qFormat/>
    <w:rPr>
      <w:rFonts w:ascii="宋体" w:hAnsi="Courier New"/>
    </w:rPr>
  </w:style>
  <w:style w:type="paragraph" w:styleId="1281" w:customStyle="1">
    <w:name w:val="Normal_21_0"/>
    <w:next w:val="1282"/>
    <w:uiPriority w:val="0"/>
    <w:qFormat/>
    <w:pPr>
      <w:jc w:val="both"/>
      <w:widowControl w:val="off"/>
    </w:pPr>
    <w:rPr>
      <w:rFonts w:ascii="Times New Roman" w:hAnsi="Times New Roman" w:eastAsia="宋体" w:cs="Times New Roman"/>
      <w:sz w:val="21"/>
      <w:szCs w:val="24"/>
      <w:lang w:val="en-US" w:eastAsia="zh-CN" w:bidi="ar-SA"/>
    </w:rPr>
  </w:style>
  <w:style w:type="paragraph" w:styleId="1282" w:customStyle="1">
    <w:name w:val="Heading 1_0"/>
    <w:basedOn w:val="1281"/>
    <w:next w:val="1281"/>
    <w:uiPriority w:val="0"/>
    <w:qFormat/>
    <w:pPr>
      <w:jc w:val="center"/>
      <w:keepLines/>
      <w:keepNext/>
      <w:spacing w:before="240" w:after="120" w:line="300" w:lineRule="auto"/>
      <w:outlineLvl w:val="0"/>
    </w:pPr>
    <w:rPr>
      <w:rFonts w:ascii="宋体"/>
      <w:b/>
      <w:sz w:val="32"/>
      <w:szCs w:val="20"/>
    </w:rPr>
  </w:style>
  <w:style w:type="paragraph" w:styleId="1283"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284" w:customStyle="1">
    <w:name w:val="正文文本 字符"/>
    <w:uiPriority w:val="0"/>
    <w:qFormat/>
    <w:rPr>
      <w:rFonts w:ascii="楷体_GB2312" w:hAnsi="Arial" w:eastAsia="楷体_GB2312" w:cs="Times New Roman"/>
      <w:sz w:val="28"/>
      <w:szCs w:val="28"/>
    </w:rPr>
  </w:style>
  <w:style w:type="character" w:styleId="1285" w:customStyle="1">
    <w:name w:val="正文文本缩进 字符"/>
    <w:uiPriority w:val="0"/>
    <w:qFormat/>
    <w:rPr>
      <w:rFonts w:ascii="楷体_GB2312" w:hAnsi="Times New Roman" w:eastAsia="楷体_GB2312" w:cs="Times New Roman"/>
      <w:sz w:val="32"/>
      <w:szCs w:val="32"/>
    </w:rPr>
  </w:style>
  <w:style w:type="character" w:styleId="1286" w:customStyle="1">
    <w:name w:val="正文文本 字符1"/>
    <w:uiPriority w:val="0"/>
    <w:qFormat/>
    <w:rPr>
      <w:rFonts w:ascii="Calibri" w:hAnsi="Calibri"/>
      <w:sz w:val="28"/>
      <w:szCs w:val="24"/>
    </w:rPr>
  </w:style>
  <w:style w:type="character" w:styleId="1287" w:customStyle="1">
    <w:name w:val="正文文本首行缩进 字符"/>
    <w:uiPriority w:val="0"/>
    <w:qFormat/>
    <w:rPr>
      <w:rFonts w:ascii="仿宋_GB2312" w:hAnsi="Calibri" w:eastAsia="仿宋_GB2312"/>
      <w:sz w:val="30"/>
      <w:szCs w:val="30"/>
    </w:rPr>
  </w:style>
  <w:style w:type="paragraph" w:styleId="1288" w:customStyle="1">
    <w:name w:val="索引 41"/>
    <w:basedOn w:val="864"/>
    <w:next w:val="864"/>
    <w:uiPriority w:val="0"/>
    <w:qFormat/>
    <w:pPr>
      <w:ind w:left="1260"/>
    </w:pPr>
    <w:rPr>
      <w:rFonts w:eastAsia="Calibri" w:cs="宋体"/>
      <w:sz w:val="20"/>
      <w:szCs w:val="21"/>
      <w:lang w:val="zh-CN"/>
    </w:rPr>
  </w:style>
  <w:style w:type="character" w:styleId="1289" w:customStyle="1">
    <w:name w:val="font5 Char"/>
    <w:uiPriority w:val="0"/>
    <w:qFormat/>
    <w:rPr>
      <w:rFonts w:ascii="宋体" w:hAnsi="宋体" w:eastAsia="宋体"/>
      <w:sz w:val="28"/>
      <w:szCs w:val="28"/>
      <w:lang w:val="en-US" w:eastAsia="zh-CN" w:bidi="ar-SA"/>
    </w:rPr>
  </w:style>
  <w:style w:type="character" w:styleId="1290" w:customStyle="1">
    <w:name w:val="二级目录 Char"/>
    <w:link w:val="1291"/>
    <w:uiPriority w:val="0"/>
    <w:qFormat/>
    <w:rPr>
      <w:b/>
      <w:sz w:val="30"/>
      <w:szCs w:val="28"/>
    </w:rPr>
  </w:style>
  <w:style w:type="paragraph" w:styleId="1291" w:customStyle="1">
    <w:name w:val="二级目录"/>
    <w:next w:val="864"/>
    <w:link w:val="1290"/>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92" w:customStyle="1">
    <w:name w:val="列出段落 Char"/>
    <w:link w:val="1293"/>
    <w:uiPriority w:val="0"/>
    <w:qFormat/>
    <w:rPr>
      <w:rFonts w:ascii="Calibri" w:hAnsi="Calibri"/>
      <w:sz w:val="24"/>
      <w:szCs w:val="24"/>
      <w:lang w:eastAsia="en-US" w:bidi="en-US"/>
    </w:rPr>
  </w:style>
  <w:style w:type="paragraph" w:styleId="1293" w:customStyle="1">
    <w:name w:val="列出段落1"/>
    <w:basedOn w:val="864"/>
    <w:link w:val="1292"/>
    <w:uiPriority w:val="0"/>
    <w:qFormat/>
    <w:pPr>
      <w:contextualSpacing/>
      <w:ind w:left="720"/>
      <w:jc w:val="left"/>
      <w:widowControl/>
    </w:pPr>
    <w:rPr>
      <w:sz w:val="24"/>
      <w:szCs w:val="24"/>
      <w:lang w:eastAsia="en-US" w:bidi="en-US"/>
    </w:rPr>
  </w:style>
  <w:style w:type="paragraph" w:styleId="1294" w:customStyle="1">
    <w:name w:val="Body Text(ch)"/>
    <w:basedOn w:val="864"/>
    <w:uiPriority w:val="0"/>
    <w:qFormat/>
    <w:pPr>
      <w:spacing w:after="120"/>
    </w:pPr>
    <w:rPr>
      <w:rFonts w:ascii="宋体" w:hAnsi="Arial"/>
      <w:bCs/>
      <w:iCs/>
      <w:szCs w:val="24"/>
    </w:rPr>
  </w:style>
  <w:style w:type="paragraph" w:styleId="1295" w:customStyle="1">
    <w:name w:val="xl27"/>
    <w:basedOn w:val="8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96" w:customStyle="1">
    <w:name w:val="xl26"/>
    <w:basedOn w:val="8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97" w:customStyle="1">
    <w:name w:val="Char"/>
    <w:basedOn w:val="864"/>
    <w:uiPriority w:val="0"/>
    <w:qFormat/>
    <w:pPr>
      <w:ind w:firstLine="200"/>
      <w:tabs>
        <w:tab w:val="left" w:pos="360" w:leader="none"/>
      </w:tabs>
    </w:pPr>
    <w:rPr>
      <w:rFonts w:ascii="Times New Roman" w:hAnsi="Times New Roman"/>
      <w:sz w:val="28"/>
      <w:szCs w:val="30"/>
    </w:rPr>
  </w:style>
  <w:style w:type="paragraph" w:styleId="1298" w:customStyle="1">
    <w:name w:val="Char1"/>
    <w:basedOn w:val="934"/>
    <w:uiPriority w:val="0"/>
    <w:qFormat/>
    <w:rPr>
      <w:rFonts w:ascii="Tahoma" w:hAnsi="Tahoma"/>
      <w:sz w:val="24"/>
      <w:szCs w:val="24"/>
    </w:rPr>
  </w:style>
  <w:style w:type="paragraph" w:styleId="1299" w:customStyle="1">
    <w:name w:val="table_lines"/>
    <w:basedOn w:val="864"/>
    <w:uiPriority w:val="0"/>
    <w:qFormat/>
    <w:pPr>
      <w:jc w:val="left"/>
      <w:widowControl/>
    </w:pPr>
    <w:rPr>
      <w:rFonts w:ascii="Times New Roman" w:hAnsi="Times New Roman"/>
      <w:sz w:val="20"/>
      <w:szCs w:val="20"/>
      <w:lang w:val="de-DE" w:eastAsia="de-DE"/>
    </w:rPr>
  </w:style>
  <w:style w:type="paragraph" w:styleId="1300"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01" w:customStyle="1">
    <w:name w:val="font7"/>
    <w:basedOn w:val="864"/>
    <w:uiPriority w:val="0"/>
    <w:qFormat/>
    <w:pPr>
      <w:jc w:val="left"/>
      <w:spacing w:before="100" w:beforeAutospacing="1" w:after="100" w:afterAutospacing="1"/>
      <w:widowControl/>
    </w:pPr>
    <w:rPr>
      <w:rFonts w:hint="eastAsia" w:ascii="宋体" w:hAnsi="宋体"/>
      <w:sz w:val="18"/>
      <w:szCs w:val="18"/>
    </w:rPr>
  </w:style>
  <w:style w:type="paragraph" w:styleId="1302" w:customStyle="1">
    <w:name w:val="Char Char Char Char"/>
    <w:basedOn w:val="934"/>
    <w:uiPriority w:val="0"/>
    <w:qFormat/>
    <w:pPr>
      <w:spacing w:line="360" w:lineRule="auto"/>
    </w:pPr>
    <w:rPr>
      <w:rFonts w:ascii="Tahoma" w:hAnsi="Tahoma"/>
      <w:sz w:val="24"/>
      <w:szCs w:val="24"/>
    </w:rPr>
  </w:style>
  <w:style w:type="paragraph" w:styleId="1303" w:customStyle="1">
    <w:name w:val="4"/>
    <w:basedOn w:val="864"/>
    <w:next w:val="969"/>
    <w:uiPriority w:val="0"/>
    <w:qFormat/>
    <w:pPr>
      <w:ind w:firstLine="420"/>
      <w:spacing w:line="360" w:lineRule="auto"/>
    </w:pPr>
    <w:rPr>
      <w:rFonts w:ascii="Times New Roman" w:hAnsi="Times New Roman"/>
      <w:color w:val="ff0000"/>
      <w:sz w:val="24"/>
      <w:szCs w:val="24"/>
    </w:rPr>
  </w:style>
  <w:style w:type="paragraph" w:styleId="1304" w:customStyle="1">
    <w:name w:val="普通 (Web)"/>
    <w:basedOn w:val="864"/>
    <w:uiPriority w:val="0"/>
    <w:qFormat/>
    <w:pPr>
      <w:jc w:val="left"/>
      <w:spacing w:before="100" w:beforeAutospacing="1" w:after="100" w:afterAutospacing="1"/>
      <w:widowControl/>
    </w:pPr>
    <w:rPr>
      <w:rFonts w:ascii="宋体" w:hAnsi="宋体"/>
      <w:sz w:val="24"/>
      <w:szCs w:val="24"/>
    </w:rPr>
  </w:style>
  <w:style w:type="paragraph" w:styleId="1305" w:customStyle="1">
    <w:name w:val="Char Char Char Char Char Char Char Char Char Char"/>
    <w:basedOn w:val="864"/>
    <w:uiPriority w:val="0"/>
    <w:qFormat/>
    <w:pPr>
      <w:spacing w:line="360" w:lineRule="auto"/>
    </w:pPr>
    <w:rPr>
      <w:rFonts w:ascii="Times New Roman" w:hAnsi="Times New Roman"/>
      <w:sz w:val="24"/>
      <w:szCs w:val="20"/>
    </w:rPr>
  </w:style>
  <w:style w:type="paragraph" w:styleId="1306" w:customStyle="1">
    <w:name w:val="样式1"/>
    <w:basedOn w:val="864"/>
    <w:uiPriority w:val="0"/>
    <w:qFormat/>
    <w:pPr>
      <w:numPr>
        <w:ilvl w:val="0"/>
        <w:numId w:val="2"/>
      </w:numPr>
      <w:tabs>
        <w:tab w:val="left" w:pos="709" w:leader="none"/>
      </w:tabs>
    </w:pPr>
    <w:rPr>
      <w:rFonts w:ascii="宋体" w:hAnsi="宋体"/>
      <w:szCs w:val="21"/>
    </w:rPr>
  </w:style>
  <w:style w:type="paragraph" w:styleId="1307" w:customStyle="1">
    <w:name w:val="font6"/>
    <w:basedOn w:val="864"/>
    <w:uiPriority w:val="0"/>
    <w:qFormat/>
    <w:pPr>
      <w:jc w:val="left"/>
      <w:spacing w:before="100" w:beforeAutospacing="1" w:after="100" w:afterAutospacing="1"/>
      <w:widowControl/>
    </w:pPr>
    <w:rPr>
      <w:rFonts w:hint="eastAsia" w:ascii="宋体" w:hAnsi="宋体"/>
      <w:sz w:val="28"/>
      <w:szCs w:val="28"/>
      <w:u w:val="single"/>
    </w:rPr>
  </w:style>
  <w:style w:type="paragraph" w:styleId="1308" w:customStyle="1">
    <w:name w:val="xl25"/>
    <w:basedOn w:val="86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09" w:customStyle="1">
    <w:name w:val="图标"/>
    <w:basedOn w:val="864"/>
    <w:next w:val="86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310" w:customStyle="1">
    <w:name w:val="标题3"/>
    <w:basedOn w:val="864"/>
    <w:next w:val="864"/>
    <w:uiPriority w:val="0"/>
    <w:qFormat/>
    <w:pPr>
      <w:ind w:firstLine="624"/>
      <w:spacing w:line="590" w:lineRule="atLeast"/>
    </w:pPr>
    <w:rPr>
      <w:rFonts w:ascii="方正黑体_GBK" w:hAnsi="Times New Roman" w:eastAsia="方正黑体_GBK"/>
      <w:sz w:val="32"/>
      <w:szCs w:val="32"/>
    </w:rPr>
  </w:style>
  <w:style w:type="paragraph" w:styleId="1311" w:customStyle="1">
    <w:name w:val="xl24"/>
    <w:basedOn w:val="8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12" w:customStyle="1">
    <w:name w:val="xl29"/>
    <w:basedOn w:val="86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13" w:customStyle="1">
    <w:name w:val="Char Char Char Char Char Char Char Char"/>
    <w:basedOn w:val="864"/>
    <w:uiPriority w:val="0"/>
    <w:qFormat/>
    <w:pPr>
      <w:jc w:val="left"/>
      <w:spacing w:after="160" w:line="240" w:lineRule="exact"/>
      <w:widowControl/>
    </w:pPr>
    <w:rPr>
      <w:rFonts w:ascii="Verdana" w:hAnsi="Verdana"/>
      <w:sz w:val="20"/>
      <w:szCs w:val="20"/>
      <w:lang w:eastAsia="en-US"/>
    </w:rPr>
  </w:style>
  <w:style w:type="paragraph" w:styleId="1314" w:customStyle="1">
    <w:name w:val="xl28"/>
    <w:basedOn w:val="8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15" w:customStyle="1">
    <w:name w:val="Char Char Char Char Char Char Char Char1"/>
    <w:basedOn w:val="864"/>
    <w:uiPriority w:val="0"/>
    <w:qFormat/>
    <w:pPr>
      <w:jc w:val="left"/>
      <w:spacing w:after="160" w:line="240" w:lineRule="exact"/>
      <w:widowControl/>
    </w:pPr>
    <w:rPr>
      <w:rFonts w:ascii="Verdana" w:hAnsi="Verdana"/>
      <w:sz w:val="20"/>
      <w:szCs w:val="20"/>
      <w:lang w:eastAsia="en-US"/>
    </w:rPr>
  </w:style>
  <w:style w:type="paragraph" w:styleId="1316" w:customStyle="1">
    <w:name w:val="xl30"/>
    <w:basedOn w:val="864"/>
    <w:uiPriority w:val="0"/>
    <w:qFormat/>
    <w:pPr>
      <w:jc w:val="center"/>
      <w:spacing w:before="100" w:beforeAutospacing="1" w:after="100" w:afterAutospacing="1"/>
      <w:widowControl/>
    </w:pPr>
    <w:rPr>
      <w:rFonts w:ascii="宋体" w:hAnsi="宋体"/>
      <w:b/>
      <w:bCs/>
      <w:sz w:val="36"/>
      <w:szCs w:val="36"/>
    </w:rPr>
  </w:style>
  <w:style w:type="paragraph" w:styleId="1317" w:customStyle="1">
    <w:name w:val="Char Char Char Char1"/>
    <w:basedOn w:val="934"/>
    <w:uiPriority w:val="0"/>
    <w:qFormat/>
    <w:pPr>
      <w:spacing w:line="360" w:lineRule="auto"/>
    </w:pPr>
    <w:rPr>
      <w:rFonts w:ascii="Tahoma" w:hAnsi="Tahoma"/>
      <w:sz w:val="24"/>
      <w:szCs w:val="24"/>
    </w:rPr>
  </w:style>
  <w:style w:type="paragraph" w:styleId="1318" w:customStyle="1">
    <w:name w:val="table_1stline"/>
    <w:basedOn w:val="864"/>
    <w:uiPriority w:val="0"/>
    <w:qFormat/>
    <w:pPr>
      <w:jc w:val="left"/>
      <w:spacing w:before="120"/>
      <w:widowControl/>
    </w:pPr>
    <w:rPr>
      <w:rFonts w:ascii="Times New Roman" w:hAnsi="Times New Roman"/>
      <w:bCs/>
      <w:sz w:val="20"/>
      <w:szCs w:val="20"/>
      <w:lang w:val="de-DE" w:eastAsia="de-DE"/>
    </w:rPr>
  </w:style>
  <w:style w:type="paragraph" w:styleId="1319" w:customStyle="1">
    <w:name w:val="font5"/>
    <w:basedOn w:val="864"/>
    <w:uiPriority w:val="0"/>
    <w:qFormat/>
    <w:pPr>
      <w:jc w:val="left"/>
      <w:spacing w:before="100" w:beforeAutospacing="1" w:after="100" w:afterAutospacing="1"/>
      <w:widowControl/>
    </w:pPr>
    <w:rPr>
      <w:rFonts w:hint="eastAsia" w:ascii="宋体" w:hAnsi="宋体"/>
      <w:sz w:val="28"/>
      <w:szCs w:val="28"/>
    </w:rPr>
  </w:style>
  <w:style w:type="paragraph" w:styleId="1320" w:customStyle="1">
    <w:name w:val="标题1"/>
    <w:basedOn w:val="864"/>
    <w:next w:val="86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321" w:customStyle="1">
    <w:name w:val="修订1"/>
    <w:uiPriority w:val="99"/>
    <w:qFormat/>
    <w:rPr>
      <w:rFonts w:ascii="Times New Roman" w:hAnsi="Times New Roman" w:eastAsia="宋体" w:cs="Times New Roman"/>
      <w:sz w:val="21"/>
      <w:szCs w:val="21"/>
      <w:lang w:val="en-US" w:eastAsia="zh-CN" w:bidi="ar-SA"/>
    </w:rPr>
  </w:style>
  <w:style w:type="table" w:styleId="1322" w:customStyle="1">
    <w:name w:val="Table Normal"/>
    <w:uiPriority w:val="0"/>
    <w:qFormat/>
    <w:tblPr>
      <w:tblCellMar>
        <w:left w:w="0" w:type="dxa"/>
        <w:top w:w="0" w:type="dxa"/>
        <w:right w:w="0" w:type="dxa"/>
        <w:bottom w:w="0" w:type="dxa"/>
      </w:tblCellMar>
    </w:tblPr>
  </w:style>
  <w:style w:type="paragraph" w:styleId="1323" w:customStyle="1">
    <w:name w:val="正文文本12"/>
    <w:basedOn w:val="864"/>
    <w:uiPriority w:val="1"/>
    <w:qFormat/>
    <w:pPr>
      <w:ind w:left="120"/>
    </w:pPr>
    <w:rPr>
      <w:rFonts w:ascii="宋体" w:hAnsi="宋体" w:cs="宋体"/>
      <w:szCs w:val="21"/>
      <w:lang w:val="zh-CN" w:bidi="zh-CN"/>
    </w:rPr>
  </w:style>
  <w:style w:type="paragraph" w:styleId="1324" w:customStyle="1">
    <w:name w:val="首行缩进"/>
    <w:basedOn w:val="864"/>
    <w:uiPriority w:val="0"/>
    <w:qFormat/>
    <w:pPr>
      <w:ind w:firstLine="480"/>
    </w:pPr>
    <w:rPr>
      <w:rFonts w:ascii="Times New Roman" w:hAnsi="Times New Roman"/>
      <w:szCs w:val="21"/>
      <w:lang w:val="zh-CN"/>
    </w:rPr>
  </w:style>
  <w:style w:type="paragraph" w:styleId="1325" w:customStyle="1">
    <w:name w:val="部分1"/>
    <w:basedOn w:val="86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326" w:customStyle="1">
    <w:name w:val="15"/>
    <w:uiPriority w:val="0"/>
    <w:qFormat/>
    <w:rPr>
      <w:rFonts w:ascii="Times New Roman" w:hAnsi="Times New Roman" w:cs="Times New Roman"/>
    </w:rPr>
  </w:style>
  <w:style w:type="paragraph" w:styleId="1327" w:customStyle="1">
    <w:name w:val="正文文本缩进 2_0"/>
    <w:basedOn w:val="1162"/>
    <w:uiPriority w:val="0"/>
    <w:qFormat/>
    <w:pPr>
      <w:ind w:firstLine="720"/>
      <w:jc w:val="left"/>
      <w:spacing w:line="540" w:lineRule="exact"/>
    </w:pPr>
    <w:rPr>
      <w:rFonts w:ascii="仿宋_GB2312" w:hAnsi="仿宋_GB2312" w:cs="宋体"/>
      <w:sz w:val="32"/>
      <w:szCs w:val="32"/>
    </w:rPr>
  </w:style>
  <w:style w:type="character" w:styleId="1328" w:customStyle="1">
    <w:name w:val="10"/>
    <w:uiPriority w:val="0"/>
    <w:qFormat/>
    <w:rPr>
      <w:rFonts w:ascii="Times New Roman" w:hAnsi="Times New Roman" w:cs="Times New Roman"/>
    </w:rPr>
  </w:style>
  <w:style w:type="paragraph" w:styleId="1329" w:customStyle="1">
    <w:name w:val="正文_16_1"/>
    <w:basedOn w:val="864"/>
    <w:uiPriority w:val="0"/>
    <w:qFormat/>
    <w:rPr>
      <w:rFonts w:ascii="Times New Roman" w:hAnsi="Times New Roman"/>
      <w:szCs w:val="21"/>
    </w:rPr>
  </w:style>
  <w:style w:type="paragraph" w:styleId="1330" w:customStyle="1">
    <w:name w:val="页脚1"/>
    <w:basedOn w:val="864"/>
    <w:uiPriority w:val="0"/>
    <w:qFormat/>
    <w:pPr>
      <w:jc w:val="left"/>
      <w:tabs>
        <w:tab w:val="center" w:pos="4153" w:leader="none"/>
        <w:tab w:val="right" w:pos="8306" w:leader="none"/>
      </w:tabs>
    </w:pPr>
    <w:rPr>
      <w:sz w:val="18"/>
      <w:szCs w:val="18"/>
    </w:rPr>
  </w:style>
  <w:style w:type="character" w:styleId="1331" w:customStyle="1">
    <w:name w:val="页码1"/>
    <w:uiPriority w:val="0"/>
    <w:qFormat/>
  </w:style>
  <w:style w:type="paragraph" w:styleId="1332" w:customStyle="1">
    <w:name w:val="*正文"/>
    <w:basedOn w:val="906"/>
    <w:uiPriority w:val="0"/>
    <w:qFormat/>
    <w:pPr>
      <w:ind w:firstLine="200"/>
    </w:pPr>
    <w:rPr>
      <w:rFonts w:hAnsi="宋体"/>
      <w:szCs w:val="24"/>
    </w:rPr>
  </w:style>
  <w:style w:type="paragraph" w:styleId="1333" w:customStyle="1">
    <w:name w:val="*正文_0"/>
    <w:basedOn w:val="1334"/>
    <w:uiPriority w:val="0"/>
    <w:qFormat/>
    <w:pPr>
      <w:ind w:firstLine="200"/>
      <w:spacing w:line="360" w:lineRule="auto"/>
    </w:pPr>
    <w:rPr>
      <w:rFonts w:ascii="宋体" w:hAnsi="宋体" w:eastAsia="Arial" w:cs="Arial"/>
      <w:color w:val="000000"/>
      <w:sz w:val="24"/>
    </w:rPr>
  </w:style>
  <w:style w:type="paragraph" w:styleId="1334" w:customStyle="1">
    <w:name w:val="正文缩进_2"/>
    <w:basedOn w:val="1187"/>
    <w:uiPriority w:val="0"/>
    <w:qFormat/>
    <w:pPr>
      <w:ind w:firstLine="420"/>
      <w:jc w:val="left"/>
      <w:widowControl/>
    </w:pPr>
    <w:rPr>
      <w:rFonts w:ascii="Times New Roman" w:hAnsi="Times New Roman"/>
      <w:sz w:val="20"/>
      <w:szCs w:val="24"/>
    </w:rPr>
  </w:style>
  <w:style w:type="paragraph" w:styleId="1335" w:customStyle="1">
    <w:name w:val="*正文_0_0"/>
    <w:basedOn w:val="1187"/>
    <w:uiPriority w:val="0"/>
    <w:qFormat/>
    <w:pPr>
      <w:ind w:firstLine="200"/>
      <w:jc w:val="left"/>
      <w:spacing w:line="360" w:lineRule="auto"/>
      <w:widowControl/>
    </w:pPr>
    <w:rPr>
      <w:rFonts w:ascii="宋体" w:hAnsi="宋体" w:eastAsia="Arial" w:cs="Arial"/>
      <w:color w:val="000000"/>
      <w:sz w:val="24"/>
      <w:szCs w:val="24"/>
    </w:rPr>
  </w:style>
  <w:style w:type="paragraph" w:styleId="1336" w:customStyle="1">
    <w:name w:val="无间隔1_0_0"/>
    <w:basedOn w:val="1187"/>
    <w:uiPriority w:val="0"/>
    <w:qFormat/>
    <w:rPr>
      <w:rFonts w:ascii="Times New Roman" w:hAnsi="Times New Roman"/>
      <w:szCs w:val="21"/>
    </w:rPr>
  </w:style>
  <w:style w:type="paragraph" w:styleId="1337"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338" w:customStyle="1">
    <w:name w:val="标题 4_0"/>
    <w:basedOn w:val="1339"/>
    <w:next w:val="1339"/>
    <w:uiPriority w:val="9"/>
    <w:qFormat/>
    <w:pPr>
      <w:keepLines/>
      <w:keepNext/>
      <w:spacing w:before="280" w:after="290" w:line="372" w:lineRule="auto"/>
      <w:outlineLvl w:val="3"/>
    </w:pPr>
    <w:rPr>
      <w:rFonts w:ascii="Arial" w:hAnsi="Arial" w:eastAsia="黑体"/>
      <w:b/>
      <w:sz w:val="28"/>
    </w:rPr>
  </w:style>
  <w:style w:type="paragraph" w:styleId="1339" w:customStyle="1">
    <w:name w:val="正文4"/>
    <w:uiPriority w:val="0"/>
    <w:qFormat/>
    <w:pPr>
      <w:jc w:val="both"/>
      <w:widowControl w:val="off"/>
    </w:pPr>
    <w:rPr>
      <w:rFonts w:ascii="Calibri" w:hAnsi="Calibri" w:eastAsia="宋体" w:cs="Times New Roman"/>
      <w:lang w:val="en-US" w:eastAsia="zh-CN" w:bidi="ar-SA"/>
    </w:rPr>
  </w:style>
  <w:style w:type="paragraph" w:styleId="1340"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341" w:customStyle="1">
    <w:name w:val="p17_0_0"/>
    <w:basedOn w:val="1230"/>
    <w:uiPriority w:val="0"/>
    <w:qFormat/>
    <w:pPr>
      <w:jc w:val="left"/>
      <w:spacing w:before="100" w:beforeAutospacing="1" w:after="100" w:afterAutospacing="1"/>
      <w:widowControl/>
    </w:pPr>
    <w:rPr>
      <w:rFonts w:ascii="宋体" w:hAnsi="宋体" w:eastAsia="Times New Roman" w:cs="宋体"/>
      <w:sz w:val="24"/>
    </w:rPr>
  </w:style>
  <w:style w:type="paragraph" w:styleId="1342" w:customStyle="1">
    <w:name w:val="p17_0"/>
    <w:basedOn w:val="909"/>
    <w:uiPriority w:val="0"/>
    <w:qFormat/>
    <w:pPr>
      <w:spacing w:before="100" w:beforeAutospacing="1" w:after="100" w:afterAutospacing="1"/>
    </w:pPr>
    <w:rPr>
      <w:rFonts w:ascii="宋体" w:hAnsi="宋体" w:eastAsia="Times New Roman" w:cs="宋体"/>
      <w:sz w:val="24"/>
    </w:rPr>
  </w:style>
  <w:style w:type="paragraph" w:styleId="1343" w:customStyle="1">
    <w:name w:val="普通(网站)11"/>
    <w:basedOn w:val="864"/>
    <w:uiPriority w:val="99"/>
    <w:qFormat/>
    <w:rPr>
      <w:sz w:val="24"/>
    </w:rPr>
  </w:style>
  <w:style w:type="paragraph" w:styleId="134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45" w:customStyle="1">
    <w:name w:val="正文5"/>
    <w:uiPriority w:val="0"/>
    <w:qFormat/>
    <w:pPr>
      <w:jc w:val="both"/>
      <w:widowControl w:val="off"/>
    </w:pPr>
    <w:rPr>
      <w:rFonts w:ascii="Calibri" w:hAnsi="Calibri" w:eastAsia="宋体" w:cs="Times New Roman"/>
      <w:sz w:val="21"/>
      <w:szCs w:val="22"/>
      <w:lang w:val="en-US" w:eastAsia="zh-CN" w:bidi="ar-SA"/>
    </w:rPr>
  </w:style>
  <w:style w:type="paragraph" w:styleId="1346" w:customStyle="1">
    <w:name w:val="正文_2_0_0_0_0_0_0"/>
    <w:next w:val="864"/>
    <w:uiPriority w:val="0"/>
    <w:qFormat/>
    <w:pPr>
      <w:jc w:val="both"/>
      <w:widowControl w:val="off"/>
    </w:pPr>
    <w:rPr>
      <w:rFonts w:ascii="Calibri" w:hAnsi="Calibri" w:eastAsia="宋体" w:cs="Times New Roman"/>
      <w:sz w:val="21"/>
      <w:szCs w:val="22"/>
      <w:lang w:val="en-US" w:eastAsia="zh-CN" w:bidi="ar-SA"/>
    </w:rPr>
  </w:style>
  <w:style w:type="paragraph" w:styleId="1347" w:customStyle="1">
    <w:name w:val="正文_19"/>
    <w:uiPriority w:val="0"/>
    <w:qFormat/>
    <w:pPr>
      <w:jc w:val="both"/>
      <w:widowControl w:val="off"/>
    </w:pPr>
    <w:rPr>
      <w:rFonts w:ascii="Calibri" w:hAnsi="Calibri" w:eastAsia="宋体" w:cs="Times New Roman"/>
      <w:sz w:val="21"/>
      <w:szCs w:val="22"/>
      <w:lang w:val="en-US" w:eastAsia="zh-CN" w:bidi="ar-SA"/>
    </w:rPr>
  </w:style>
  <w:style w:type="paragraph" w:styleId="1348" w:customStyle="1">
    <w:name w:val="Heading #3|2"/>
    <w:uiPriority w:val="0"/>
    <w:qFormat/>
    <w:pPr>
      <w:jc w:val="center"/>
      <w:spacing w:before="700" w:after="700" w:line="200" w:lineRule="exact"/>
      <w:shd w:val="clear" w:color="auto" w:fill="ffffff"/>
      <w:widowControl w:val="off"/>
      <w:outlineLvl w:val="2"/>
    </w:pPr>
    <w:rPr>
      <w:rFonts w:ascii="PMingLiU" w:hAnsi="PMingLiU" w:eastAsia="PMingLiU" w:cs="Times New Roman"/>
      <w:b/>
      <w:bCs/>
      <w:lang w:val="en-US" w:eastAsia="zh-CN" w:bidi="ar-SA"/>
    </w:rPr>
  </w:style>
  <w:style w:type="character" w:styleId="1349" w:customStyle="1">
    <w:name w:val="font31"/>
    <w:basedOn w:val="874"/>
    <w:uiPriority w:val="0"/>
    <w:qFormat/>
    <w:rPr>
      <w:rFonts w:ascii="Arial" w:hAnsi="Arial" w:cs="Arial"/>
      <w:color w:val="000000"/>
      <w:sz w:val="24"/>
      <w:szCs w:val="24"/>
      <w:u w:val="none"/>
    </w:rPr>
  </w:style>
  <w:style w:type="character" w:styleId="1350" w:customStyle="1">
    <w:name w:val="font21"/>
    <w:basedOn w:val="874"/>
    <w:uiPriority w:val="0"/>
    <w:qFormat/>
    <w:rPr>
      <w:rFonts w:hint="eastAsia" w:ascii="仿宋" w:hAnsi="仿宋" w:eastAsia="仿宋" w:cs="仿宋"/>
      <w:color w:val="000000"/>
      <w:sz w:val="24"/>
      <w:szCs w:val="24"/>
      <w:u w:val="none"/>
    </w:rPr>
  </w:style>
  <w:style w:type="character" w:styleId="1351" w:customStyle="1">
    <w:name w:val="font11"/>
    <w:basedOn w:val="874"/>
    <w:uiPriority w:val="0"/>
    <w:qFormat/>
    <w:rPr>
      <w:rFonts w:hint="eastAsia" w:ascii="仿宋" w:hAnsi="仿宋" w:eastAsia="仿宋" w:cs="仿宋"/>
      <w:b/>
      <w:bCs/>
      <w:color w:val="000000"/>
      <w:sz w:val="24"/>
      <w:szCs w:val="24"/>
      <w:u w:val="none"/>
    </w:rPr>
  </w:style>
  <w:style w:type="character" w:styleId="1352" w:customStyle="1">
    <w:name w:val="font41"/>
    <w:basedOn w:val="874"/>
    <w:uiPriority w:val="0"/>
    <w:qFormat/>
    <w:rPr>
      <w:rFonts w:hint="eastAsia" w:ascii="宋体" w:hAnsi="宋体" w:eastAsia="宋体" w:cs="宋体"/>
      <w:color w:val="000000"/>
      <w:sz w:val="24"/>
      <w:szCs w:val="24"/>
      <w:u w:val="none"/>
    </w:rPr>
  </w:style>
  <w:style w:type="numbering" w:styleId="281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2d57bcfc-49d0-447d-9245-64d4c529d58c</errorID>
      <errorWord>老年能力</errorWord>
      <group>L1_Word</group>
      <groupName>字词问题</groupName>
      <ability>L2_Typo</ability>
      <abilityName>字词错误</abilityName>
      <candidateList>
        <item>老年人能力</item>
      </candidateList>
      <explain/>
      <paraID>4D46F004</paraID>
      <start>44</start>
      <end>48</end>
      <status>ignored</status>
      <modifiedWord/>
      <trackRevisions>false</trackRevisions>
    </reviewItem>
    <reviewItem>
      <errorID>8387b2fe-3ce7-4475-8b06-288fd857ffdc</errorID>
      <errorWord>〔2022〕002号</errorWord>
      <group>L1_Knowledge</group>
      <groupName>知识性问题</groupName>
      <ability>L2_Knowledge</ability>
      <abilityName>其他知识</abilityName>
      <candidateList>
        <item>〔2022〕2号</item>
      </candidateList>
      <explain>发文字号格式错误。</explain>
      <paraID>1FBE335A</paraID>
      <start>79</start>
      <end>87</end>
      <status>modified</status>
      <modifiedWord>〔2022〕2号</modifiedWord>
      <trackRevisions>false</trackRevisions>
    </reviewItem>
    <reviewItem>
      <errorID>39e3802b-1dd0-4b22-bee9-7d7367a77edd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2E27878E</paraID>
      <start>46</start>
      <end>47</end>
      <status>ignored</status>
      <modifiedWord/>
      <trackRevisions>false</trackRevisions>
    </reviewItem>
    <reviewItem>
      <errorID>ef73f3f5-3602-4b4e-a8f3-0c67a523ca24</errorID>
      <errorWord>间</errorWord>
      <group>L1_Word</group>
      <groupName>字词问题</groupName>
      <ability>L2_Typo</ability>
      <abilityName>字词错误</abilityName>
      <candidateList>
        <item>间之</item>
      </candidateList>
      <explain/>
      <paraID>70E1214C</paraID>
      <start>21</start>
      <end>23</end>
      <status>modified</status>
      <modifiedWord>间之</modifiedWord>
      <trackRevisions>false</trackRevisions>
    </reviewItem>
    <reviewItem>
      <errorID>089d46bc-481f-4cea-8205-423fcc5af7da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369087E0</paraID>
      <start>31</start>
      <end>32</end>
      <status>ignored</status>
      <modifiedWord/>
      <trackRevisions>false</trackRevisions>
    </reviewItem>
    <reviewItem>
      <errorID>208cdfef-845e-48d7-87e6-3110c7fb4c39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61B97217</paraID>
      <start>33</start>
      <end>34</end>
      <status>ignored</status>
      <modifiedWord/>
      <trackRevisions>false</trackRevisions>
    </reviewItem>
    <reviewItem>
      <errorID>070e6274-d42c-4ea6-823f-38f113d2d844</errorID>
      <errorWord>包括不限于</errorWord>
      <group>L1_Word</group>
      <groupName>字词问题</groupName>
      <ability>L2_Typo</ability>
      <abilityName>字词错误</abilityName>
      <candidateList>
        <item>包括但不限于</item>
      </candidateList>
      <explain/>
      <paraID>61E4DBBE</paraID>
      <start>44</start>
      <end>50</end>
      <status>modified</status>
      <modifiedWord>包括但不限于</modifiedWord>
      <trackRevisions>false</trackRevisions>
    </reviewItem>
    <reviewItem>
      <errorID>58d28444-a310-48f4-af86-8e00f6040aec</errorID>
      <errorWord>老年能力</errorWord>
      <group>L1_Word</group>
      <groupName>字词问题</groupName>
      <ability>L2_Typo</ability>
      <abilityName>字词错误</abilityName>
      <candidateList>
        <item>老年人能力</item>
      </candidateList>
      <explain/>
      <paraID>2725E1E2</paraID>
      <start>49</start>
      <end>53</end>
      <status>ignored</status>
      <modifiedWord/>
      <trackRevisions>false</trackRevisions>
    </reviewItem>
    <reviewItem>
      <errorID>9d366247-432c-4047-9f6b-fecdb2351938</errorID>
      <errorWord>)</errorWord>
      <group>L1_Format</group>
      <groupName>格式问题</groupName>
      <ability>L2_HalfPunc</ability>
      <abilityName>全半角检查</abilityName>
      <candidateList>
        <item>）</item>
      </candidateList>
      <explain>文本全半角错误。</explain>
      <paraID>7BB5074D</paraID>
      <start>81</start>
      <end>82</end>
      <status>modified</status>
      <modifiedWord>）</modifiedWord>
      <trackRevisions>false</trackRevisions>
    </reviewItem>
    <reviewItem>
      <errorID>87455d63-b7a9-4d39-8ebb-95bf92fcba79</errorID>
      <errorWord>：</errorWord>
      <group>L1_Word</group>
      <groupName>字词问题</groupName>
      <ability>L2_Typo</ability>
      <abilityName>字词错误</abilityName>
      <candidateList>
        <item>：以</item>
      </candidateList>
      <explain/>
      <paraID>72EC8430</paraID>
      <start>97</start>
      <end>99</end>
      <status>modified</status>
      <modifiedWord>：以</modifiedWord>
      <trackRevisions>false</trackRevisions>
    </reviewItem>
    <reviewItem>
      <errorID>8f76e56c-7978-4283-9c54-899ef6ce529d</errorID>
      <errorWord>）</errorWord>
      <group>L1_Format</group>
      <groupName>格式问题</groupName>
      <ability>L2_HalfPunc</ability>
      <abilityName>全半角检查</abilityName>
      <candidateList>
        <item>)</item>
      </candidateList>
      <explain>文本全半角错误。</explain>
      <paraID>5BFE83D7</paraID>
      <start>25</start>
      <end>26</end>
      <status>modified</status>
      <modifiedWord>)</modifiedWord>
      <trackRevisions>false</trackRevisions>
    </reviewItem>
    <reviewItem>
      <errorID>7a54bfb2-207c-4591-91bd-f2a1ab0c93d3</errorID>
      <errorWord>AV*</errorWord>
      <group>L1_Sensitive</group>
      <groupName>敏感问题</groupName>
      <ability>L2_Yellow</ability>
      <abilityName>涉黄词条</abilityName>
      <candidateList/>
      <explain>【涉黄词条】句中包含涉黄敏感词条，请注意甄别。</explain>
      <paraID>63BC8D6A</paraID>
      <start>222</start>
      <end>225</end>
      <status>ignored</status>
      <modifiedWord/>
      <trackRevisions>false</trackRevisions>
    </reviewItem>
    <reviewItem>
      <errorID>02d9690e-050f-4093-a450-375014c58652</errorID>
      <errorWord>信息泄漏</errorWord>
      <group>L1_Word</group>
      <groupName>字词问题</groupName>
      <ability>L2_Typo</ability>
      <abilityName>字词错误</abilityName>
      <candidateList>
        <item>信息泄露</item>
      </candidateList>
      <explain/>
      <paraID> 8C23241</paraID>
      <start>528</start>
      <end>532</end>
      <status>modified</status>
      <modifiedWord>信息泄露</modifiedWord>
      <trackRevisions>false</trackRevisions>
    </reviewItem>
    <reviewItem>
      <errorID>370f5cd0-0ec2-4bd7-b005-4b391a8c78f1</errorID>
      <errorWord>)</errorWord>
      <group>L1_Format</group>
      <groupName>格式问题</groupName>
      <ability>L2_HalfPunc</ability>
      <abilityName>全半角检查</abilityName>
      <candidateList>
        <item>）</item>
      </candidateList>
      <explain>文本全半角错误。</explain>
      <paraID>750008AA</paraID>
      <start>70</start>
      <end>71</end>
      <status>modified</status>
      <modifiedWord>）</modifiedWord>
      <trackRevisions>false</trackRevisions>
    </reviewItem>
    <reviewItem>
      <errorID>850f4eac-f630-4460-83d4-0dcd38a01a7c</errorID>
      <errorWord>葵花籽</errorWord>
      <group>L1_Knowledge</group>
      <groupName>知识性问题</groupName>
      <ability>L2_Knowledge</ability>
      <abilityName>其他知识</abilityName>
      <candidateList>
        <item>葵花子</item>
      </candidateList>
      <explain/>
      <paraID>  41749F</paraID>
      <start>193</start>
      <end>196</end>
      <status>ignored</status>
      <modifiedWord/>
      <trackRevisions>false</trackRevisions>
    </reviewItem>
    <reviewItem>
      <errorID>92878b0b-ac99-4f1f-8992-0ee5aadfd2d0</errorID>
      <errorWord>AV*</errorWord>
      <group>L1_Sensitive</group>
      <groupName>敏感问题</groupName>
      <ability>L2_Yellow</ability>
      <abilityName>涉黄词条</abilityName>
      <candidateList/>
      <explain>【涉黄词条】句中包含涉黄敏感词条，请注意甄别。</explain>
      <paraID>76229AA1</paraID>
      <start>402</start>
      <end>405</end>
      <status>ignored</status>
      <modifiedWord/>
      <trackRevisions>false</trackRevisions>
    </reviewItem>
    <reviewItem>
      <errorID>12ebfb1e-904d-40bf-b49a-35f7cef11263</errorID>
      <errorWord>至少额外支持2路以上</errorWord>
      <group>L1_Grammar</group>
      <groupName>语法问题</groupName>
      <ability>L2_Grammar</ability>
      <abilityName>语法错误</abilityName>
      <candidateList>
        <item>至少额外支持2路</item>
      </candidateList>
      <explain/>
      <paraID> FD164F3</paraID>
      <start>1173</start>
      <end>1183</end>
      <status>ignored</status>
      <modifiedWord/>
      <trackRevisions>false</trackRevisions>
    </reviewItem>
    <reviewItem>
      <errorID>093f786e-7187-4bc4-bcb5-e078e7cb3acb</errorID>
      <errorWord>)</errorWord>
      <group>L1_Format</group>
      <groupName>格式问题</groupName>
      <ability>L2_HalfPunc</ability>
      <abilityName>全半角检查</abilityName>
      <candidateList>
        <item>）</item>
      </candidateList>
      <explain>文本全半角错误。</explain>
      <paraID>4947BF07</paraID>
      <start>301</start>
      <end>302</end>
      <status>modified</status>
      <modifiedWord>）</modifiedWord>
      <trackRevisions>false</trackRevisions>
    </reviewItem>
    <reviewItem>
      <errorID>6f767ea3-eb46-42f8-a8b8-f3f1524139e3</errorID>
      <errorWord>)</errorWord>
      <group>L1_Format</group>
      <groupName>格式问题</groupName>
      <ability>L2_HalfPunc</ability>
      <abilityName>全半角检查</abilityName>
      <candidateList>
        <item>）</item>
      </candidateList>
      <explain>文本全半角错误。</explain>
      <paraID>75982370</paraID>
      <start>354</start>
      <end>355</end>
      <status>modified</status>
      <modifiedWord>）</modifiedWord>
      <trackRevisions>false</trackRevisions>
    </reviewItem>
    <reviewItem>
      <errorID>63d9ba95-e736-479d-8d8f-31002428082a</errorID>
      <errorWord>)</errorWord>
      <group>L1_Format</group>
      <groupName>格式问题</groupName>
      <ability>L2_HalfPunc</ability>
      <abilityName>全半角检查</abilityName>
      <candidateList>
        <item>）</item>
      </candidateList>
      <explain>文本全半角错误。</explain>
      <paraID>75982370</paraID>
      <start>390</start>
      <end>391</end>
      <status>modified</status>
      <modifiedWord>）</modifiedWord>
      <trackRevisions>false</trackRevisions>
    </reviewItem>
    <reviewItem>
      <errorID>bc707557-b734-4fa8-9abe-262336f92103</errorID>
      <errorWord>)</errorWord>
      <group>L1_Format</group>
      <groupName>格式问题</groupName>
      <ability>L2_HalfPunc</ability>
      <abilityName>全半角检查</abilityName>
      <candidateList>
        <item>）</item>
      </candidateList>
      <explain>文本全半角错误。</explain>
      <paraID>75982370</paraID>
      <start>684</start>
      <end>685</end>
      <status>modified</status>
      <modifiedWord>）</modifiedWord>
      <trackRevisions>false</trackRevisions>
    </reviewItem>
    <reviewItem>
      <errorID>f6650abb-8c6e-4bca-90ab-01285d507d58</errorID>
      <errorWord>)</errorWord>
      <group>L1_Format</group>
      <groupName>格式问题</groupName>
      <ability>L2_HalfPunc</ability>
      <abilityName>全半角检查</abilityName>
      <candidateList>
        <item>）</item>
      </candidateList>
      <explain>文本全半角错误。</explain>
      <paraID>75982370</paraID>
      <start>729</start>
      <end>730</end>
      <status>modified</status>
      <modifiedWord>）</modifiedWord>
      <trackRevisions>false</trackRevisions>
    </reviewItem>
    <reviewItem>
      <errorID>8623fce0-fbda-417a-a108-97a1ce9c0717</errorID>
      <errorWord>7 十二</errorWord>
      <group>L1_Knowledge</group>
      <groupName>知识性问题</groupName>
      <ability>L2_Knowledge</ability>
      <abilityName>其他知识</abilityName>
      <candidateList>
        <item>72</item>
      </candidateList>
      <explain/>
      <paraID> 362DD4B</paraID>
      <start>6</start>
      <end>10</end>
      <status>ignored</status>
      <modifiedWord/>
      <trackRevisions>false</trackRevisions>
    </reviewItem>
    <reviewItem>
      <errorID>cf3f215c-c500-4703-8e44-54c37d279a9c</errorID>
      <errorWord>)</errorWord>
      <group>L1_Format</group>
      <groupName>格式问题</groupName>
      <ability>L2_HalfPunc</ability>
      <abilityName>全半角检查</abilityName>
      <candidateList>
        <item>）</item>
      </candidateList>
      <explain>文本全半角错误。</explain>
      <paraID>2A6BD364</paraID>
      <start>149</start>
      <end>150</end>
      <status>modified</status>
      <modifiedWord>）</modifiedWord>
      <trackRevisions>false</trackRevisions>
    </reviewItem>
    <reviewItem>
      <errorID>cc75ed1c-e599-44ab-8125-8f34fbf6455c</errorID>
      <errorWord>)</errorWord>
      <group>L1_Format</group>
      <groupName>格式问题</groupName>
      <ability>L2_HalfPunc</ability>
      <abilityName>全半角检查</abilityName>
      <candidateList>
        <item>）</item>
      </candidateList>
      <explain>文本全半角错误。</explain>
      <paraID>607B7EA0</paraID>
      <start>358</start>
      <end>359</end>
      <status>modified</status>
      <modifiedWord>）</modifiedWord>
      <trackRevisions>false</trackRevisions>
    </reviewItem>
    <reviewItem>
      <errorID>a755751e-829f-4cb8-bfdd-ffeccd01a204</errorID>
      <errorWord>)</errorWord>
      <group>L1_Format</group>
      <groupName>格式问题</groupName>
      <ability>L2_HalfPunc</ability>
      <abilityName>全半角检查</abilityName>
      <candidateList>
        <item>）</item>
      </candidateList>
      <explain>文本全半角错误。</explain>
      <paraID>607B7EA0</paraID>
      <start>394</start>
      <end>395</end>
      <status>modified</status>
      <modifiedWord>）</modifiedWord>
      <trackRevisions>false</trackRevisions>
    </reviewItem>
    <reviewItem>
      <errorID>a2d2417a-380c-417a-b5f7-6f1fb9a61433</errorID>
      <errorWord>)</errorWord>
      <group>L1_Format</group>
      <groupName>格式问题</groupName>
      <ability>L2_HalfPunc</ability>
      <abilityName>全半角检查</abilityName>
      <candidateList>
        <item>）</item>
      </candidateList>
      <explain>文本全半角错误。</explain>
      <paraID>607B7EA0</paraID>
      <start>685</start>
      <end>686</end>
      <status>modified</status>
      <modifiedWord>）</modifiedWord>
      <trackRevisions>false</trackRevisions>
    </reviewItem>
    <reviewItem>
      <errorID>377d19e0-0da4-45be-83ae-5c0bc1459732</errorID>
      <errorWord>)</errorWord>
      <group>L1_Format</group>
      <groupName>格式问题</groupName>
      <ability>L2_HalfPunc</ability>
      <abilityName>全半角检查</abilityName>
      <candidateList>
        <item>）</item>
      </candidateList>
      <explain>文本全半角错误。</explain>
      <paraID>607B7EA0</paraID>
      <start>730</start>
      <end>731</end>
      <status>modified</status>
      <modifiedWord>）</modifiedWord>
      <trackRevisions>false</trackRevisions>
    </reviewItem>
    <reviewItem>
      <errorID>955ead38-fd59-4f23-b860-8ddb08d94765</errorID>
      <errorWord>5十二</errorWord>
      <group>L1_Knowledge</group>
      <groupName>知识性问题</groupName>
      <ability>L2_Knowledge</ability>
      <abilityName>其他知识</abilityName>
      <candidateList>
        <item>52</item>
      </candidateList>
      <explain/>
      <paraID>3779BDDB</paraID>
      <start>7</start>
      <end>10</end>
      <status>ignored</status>
      <modifiedWord/>
      <trackRevisions>false</trackRevisions>
    </reviewItem>
    <reviewItem>
      <errorID>4e9deeb4-206d-4d23-be95-4c4383a7bde4</errorID>
      <errorWord>5十二</errorWord>
      <group>L1_Knowledge</group>
      <groupName>知识性问题</groupName>
      <ability>L2_Knowledge</ability>
      <abilityName>其他知识</abilityName>
      <candidateList>
        <item>52</item>
      </candidateList>
      <explain/>
      <paraID>1E65E1DF</paraID>
      <start>5</start>
      <end>8</end>
      <status>ignored</status>
      <modifiedWord/>
      <trackRevisions>false</trackRevisions>
    </reviewItem>
    <reviewItem>
      <errorID>882fdb77-4324-4d18-b3fb-6d0ad815cd18</errorID>
      <errorWord>按《中华人民共和国</errorWord>
      <group>L1_Word</group>
      <groupName>字词问题</groupName>
      <ability>L2_Typo</ability>
      <abilityName>字词错误</abilityName>
      <candidateList>
        <item>按照《中华人民共和国</item>
      </candidateList>
      <explain/>
      <paraID>6E69E221</paraID>
      <start>37</start>
      <end>47</end>
      <status>modified</status>
      <modifiedWord>按照《中华人民共和国</modifiedWord>
      <trackRevisions>false</trackRevisions>
    </reviewItem>
    <reviewItem>
      <errorID>0e8aeb24-6246-4090-95e9-8e07a6c960f3</errorID>
      <errorWord>涵义</errorWord>
      <group>L1_Word</group>
      <groupName>字词问题</groupName>
      <ability>L2_Alias</ability>
      <abilityName>也作/曾用词</abilityName>
      <candidateList>
        <item>含义</item>
      </candidateList>
      <explain>词汇[涵义]为不规范表述或旧称，其规范书面表述为[含义]。</explain>
      <paraID>562D0962</paraID>
      <start>5</start>
      <end>7</end>
      <status>ignored</status>
      <modifiedWord/>
      <trackRevisions>false</trackRevisions>
    </reviewItem>
    <reviewItem>
      <errorID>62af5b66-1445-4cc3-82a0-d8d367454745</errorID>
      <errorWord>按《中华人民共和国</errorWord>
      <group>L1_Word</group>
      <groupName>字词问题</groupName>
      <ability>L2_Typo</ability>
      <abilityName>字词错误</abilityName>
      <candidateList>
        <item>按照《中华人民共和国</item>
      </candidateList>
      <explain/>
      <paraID>7BADBA99</paraID>
      <start>18</start>
      <end>28</end>
      <status>modified</status>
      <modifiedWord>按照《中华人民共和国</modifiedWord>
      <trackRevisions>false</trackRevisions>
    </reviewItem>
    <reviewItem>
      <errorID>62346446-908d-4700-9a19-1ec39470924b</errorID>
      <errorWord>本</errorWord>
      <group>L1_Word</group>
      <groupName>字词问题</groupName>
      <ability>L2_Typo</ability>
      <abilityName>字词错误</abilityName>
      <candidateList>
        <item>本次</item>
      </candidateList>
      <explain/>
      <paraID>18EE739C</paraID>
      <start>3</start>
      <end>5</end>
      <status>modified</status>
      <modifiedWord>本次</modifiedWord>
      <trackRevisions>false</trackRevisions>
    </reviewItem>
    <reviewItem>
      <errorID>a859f484-5dd6-4b59-b890-c6520817982e</errorID>
      <errorWord>（</errorWord>
      <group>L1_Punc</group>
      <groupName>标点问题</groupName>
      <ability>L2_Punc</ability>
      <abilityName>标点符号检查</abilityName>
      <candidateList/>
      <explain>同一形式括号套用。</explain>
      <paraID>64C11CDE</paraID>
      <start>14</start>
      <end>15</end>
      <status>ignored</status>
      <modifiedWord/>
      <trackRevisions>false</trackRevisions>
    </reviewItem>
    <reviewItem>
      <errorID>79be798d-1be6-4ea8-8875-46d3643f0563</errorID>
      <errorWord>）</errorWord>
      <group>L1_Punc</group>
      <groupName>标点问题</groupName>
      <ability>L2_Punc</ability>
      <abilityName>标点符号检查</abilityName>
      <candidateList/>
      <explain>同一形式括号套用。</explain>
      <paraID>64C11CDE</paraID>
      <start>18</start>
      <end>19</end>
      <status>ignored</status>
      <modifiedWord/>
      <trackRevisions>false</trackRevisions>
    </reviewItem>
    <reviewItem>
      <errorID>c9007569-67fe-4cf3-8965-1cff71da84c1</errorID>
      <errorWord>（</errorWord>
      <group>L1_Punc</group>
      <groupName>标点问题</groupName>
      <ability>L2_Punc</ability>
      <abilityName>标点符号检查</abilityName>
      <candidateList/>
      <explain>同一形式括号套用。</explain>
      <paraID>5F7D628A</paraID>
      <start>14</start>
      <end>15</end>
      <status>ignored</status>
      <modifiedWord/>
      <trackRevisions>false</trackRevisions>
    </reviewItem>
    <reviewItem>
      <errorID>e6c9e684-7be8-4fd9-8cd4-b94148bf853a</errorID>
      <errorWord>）</errorWord>
      <group>L1_Punc</group>
      <groupName>标点问题</groupName>
      <ability>L2_Punc</ability>
      <abilityName>标点符号检查</abilityName>
      <candidateList/>
      <explain>同一形式括号套用。</explain>
      <paraID>5F7D628A</paraID>
      <start>18</start>
      <end>19</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 StyleName=""/>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836241C3-41B9-4031-B787-72907520F520}"/>
</file>

<file path=customXml/itemProps2.xml><?xml version="1.0" encoding="utf-8"?>
<ds:datastoreItem xmlns:ds="http://schemas.openxmlformats.org/officeDocument/2006/customXml" ds:itemID="{8EC78A17-4C6A-437A-AF0A-28651589C71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张茜</cp:lastModifiedBy>
  <cp:revision>35</cp:revision>
  <dcterms:created xsi:type="dcterms:W3CDTF">2026-03-25T06:48:00Z</dcterms:created>
  <dcterms:modified xsi:type="dcterms:W3CDTF">2026-04-24T00:14:20Z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eyJoZGlkIjoiZjljOGRhODRiYWJjYWRlMWExYWFlOGI3MTkyNWRkMzQiLCJ1c2VySWQiOiIzOTg5OTcxMDUifQ==</vt:lpwstr>
  </property>
  <property fmtid="{D5CDD505-2E9C-101B-9397-08002B2CF9AE}" pid="3" name="KSOProductBuildVer">
    <vt:lpwstr>2052-12.1.0.25865</vt:lpwstr>
  </property>
  <property fmtid="{D5CDD505-2E9C-101B-9397-08002B2CF9AE}" pid="4" name="ICV">
    <vt:lpwstr>1EC966E6CEB542E3A2D4793C77A9462B_13</vt:lpwstr>
  </property>
</Properties>
</file>